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00.0 – Master Case File</w:t>
      </w:r>
    </w:p>
    <w:p>
      <w:r>
        <w:t>VAUGHAN v HAVEN HOLIDAYS LTD</w:t>
        <w:br/>
        <w:t>Master Trial Bundle</w:t>
        <w:br/>
        <w:t>Edition 1</w:t>
      </w:r>
    </w:p>
    <w:p>
      <w:pPr>
        <w:pStyle w:val="Heading2"/>
      </w:pPr>
      <w:r>
        <w:t>Purpose</w:t>
      </w:r>
    </w:p>
    <w:p>
      <w:r>
        <w:t>This is the master front document for the trial bundle. It provides the case overview, bundle structure and document control.</w:t>
      </w:r>
    </w:p>
    <w:p>
      <w:pPr>
        <w:pStyle w:val="Heading2"/>
      </w:pPr>
      <w:r>
        <w:t>Bundle Structure</w:t>
      </w:r>
    </w:p>
    <w:p>
      <w:pPr>
        <w:pStyle w:val="ListBullet"/>
      </w:pPr>
      <w:r>
        <w:t>00.0 Master Case File</w:t>
      </w:r>
    </w:p>
    <w:p>
      <w:pPr>
        <w:pStyle w:val="ListBullet"/>
      </w:pPr>
      <w:r>
        <w:t>00.1 Master Chronology</w:t>
      </w:r>
    </w:p>
    <w:p>
      <w:pPr>
        <w:pStyle w:val="ListBullet"/>
      </w:pPr>
      <w:r>
        <w:t>00.2 Witness Statement</w:t>
      </w:r>
    </w:p>
    <w:p>
      <w:pPr>
        <w:pStyle w:val="ListBullet"/>
      </w:pPr>
      <w:r>
        <w:t>00.3 Master Contact Directory</w:t>
      </w:r>
    </w:p>
    <w:p>
      <w:pPr>
        <w:pStyle w:val="ListBullet"/>
      </w:pPr>
      <w:r>
        <w:t>00.4 Master Email Register</w:t>
      </w:r>
    </w:p>
    <w:p>
      <w:pPr>
        <w:pStyle w:val="ListBullet"/>
      </w:pPr>
      <w:r>
        <w:t>00.5 Master Evidence Register</w:t>
      </w:r>
    </w:p>
    <w:p>
      <w:pPr>
        <w:pStyle w:val="ListBullet"/>
      </w:pPr>
      <w:r>
        <w:t>00.6 Subject Access Request (SAR)</w:t>
      </w:r>
    </w:p>
    <w:p>
      <w:pPr>
        <w:pStyle w:val="ListBullet"/>
      </w:pPr>
      <w:r>
        <w:t>00.7 Financial Loss</w:t>
      </w:r>
    </w:p>
    <w:p>
      <w:pPr>
        <w:pStyle w:val="ListBullet"/>
      </w:pPr>
      <w:r>
        <w:t>00.8 Legal Research</w:t>
      </w:r>
    </w:p>
    <w:p>
      <w:pPr>
        <w:pStyle w:val="ListBullet"/>
      </w:pPr>
      <w:r>
        <w:t>00.9 Case Law Register</w:t>
      </w:r>
    </w:p>
    <w:p>
      <w:pPr>
        <w:pStyle w:val="ListBullet"/>
      </w:pPr>
      <w:r>
        <w:t>00.10 Authorities &amp; Legislation</w:t>
      </w:r>
    </w:p>
    <w:p>
      <w:pPr>
        <w:pStyle w:val="ListBullet"/>
      </w:pPr>
      <w:r>
        <w:t>00.11 Working Notes</w:t>
      </w:r>
    </w:p>
    <w:p>
      <w:pPr>
        <w:pStyle w:val="Heading2"/>
      </w:pPr>
      <w:r>
        <w:t>Case Summary</w:t>
      </w:r>
    </w:p>
    <w:p>
      <w:r>
        <w:t>This bundle concerns the purchase and upgrade of a holiday caravan, the alleged representations made during the sales process, the condition of the caravan, unresolved defects, subsequent complaints, financial losses and the relief sought.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Edition 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Working Master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Kennedy Vaughan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Master Bundle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