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CASE DECISION LOG</w:t>
      </w:r>
    </w:p>
    <w:p>
      <w:r>
        <w:t>Version 1 – Working Register</w:t>
        <w:br/>
      </w:r>
    </w:p>
    <w:p>
      <w:r>
        <w:t>Use this register to record important decisions made during the conduct of the case, including strategic decisions, advice received, and actions agreed.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Made By</w:t>
            </w:r>
          </w:p>
        </w:tc>
        <w:tc>
          <w:tcPr>
            <w:tcW w:type="dxa" w:w="1440"/>
          </w:tcPr>
          <w:p>
            <w:r>
              <w:t>Follow-up Action</w:t>
            </w:r>
          </w:p>
        </w:tc>
      </w:tr>
      <w:tr>
        <w:tc>
          <w:tcPr>
            <w:tcW w:type="dxa" w:w="1440"/>
          </w:tcPr>
          <w:p>
            <w:r>
              <w:t>CD1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CD10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