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LEGAL ISSUES CHECKLIST</w:t>
      </w:r>
    </w:p>
    <w:p>
      <w:r>
        <w:t>Version 1 – Working Checklist</w:t>
        <w:br/>
      </w:r>
    </w:p>
    <w:p>
      <w:r>
        <w:t>This checklist is intended to help review the potential legal issues with a solicitor. It is a planning document and not legal advice.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Reviewed</w:t>
            </w:r>
          </w:p>
        </w:tc>
      </w:tr>
      <w:tr>
        <w:tc>
          <w:tcPr>
            <w:tcW w:type="dxa" w:w="4320"/>
          </w:tcPr>
          <w:p>
            <w:r>
              <w:t>Contract formation and terms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Pre-contract representations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Reliance on representations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Condition at handover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Repair obligations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Complaint handling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Disclosure / Subject Access Request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Financial losses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Interest claim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Limitation considerations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Evidence complete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Further expert evidence required?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