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SETTLEMENT NEGOTIATION LOG</w:t>
      </w:r>
    </w:p>
    <w:p>
      <w:r>
        <w:t>Version 1 – Working Record</w:t>
        <w:br/>
      </w:r>
    </w:p>
    <w:p>
      <w:r>
        <w:t>Use this log to record every settlement discussion, offer, response and without-prejudice communication.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From/To</w:t>
            </w:r>
          </w:p>
        </w:tc>
        <w:tc>
          <w:tcPr>
            <w:tcW w:type="dxa" w:w="1440"/>
          </w:tcPr>
          <w:p>
            <w:r>
              <w:t>Offer / Proposal</w:t>
            </w:r>
          </w:p>
        </w:tc>
        <w:tc>
          <w:tcPr>
            <w:tcW w:type="dxa" w:w="1440"/>
          </w:tcPr>
          <w:p>
            <w:r>
              <w:t>Response</w:t>
            </w:r>
          </w:p>
        </w:tc>
        <w:tc>
          <w:tcPr>
            <w:tcW w:type="dxa" w:w="1440"/>
          </w:tcPr>
          <w:p>
            <w:r>
              <w:t>Next Action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Purpose</w:t>
      </w:r>
    </w:p>
    <w:p>
      <w:r>
        <w:t>Maintaining a clear record of negotiations can help legal representatives understand what attempts have been made to resolve the dispute before trial.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