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VAUGHAN v HAVEN HOLIDAYS LTD</w:t>
      </w:r>
    </w:p>
    <w:p>
      <w:pPr>
        <w:pStyle w:val="Heading1"/>
      </w:pPr>
      <w:r>
        <w:t>SOLICITOR HANDOVER CHECKLIST</w:t>
      </w:r>
    </w:p>
    <w:p>
      <w:r>
        <w:t>Version 1 – Working Document</w:t>
        <w:br/>
      </w:r>
    </w:p>
    <w:p>
      <w:pPr>
        <w:pStyle w:val="Heading2"/>
      </w:pPr>
      <w:r>
        <w:t>Purpose</w:t>
      </w:r>
    </w:p>
    <w:p>
      <w:r>
        <w:t>Checklist to ensure the litigation file is complete before being handed to a solicitor.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Master Bundle included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 Statement included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Chronology included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Schedule of Loss included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Exhibit Index included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Key correspondence included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SAR documents included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Supporting evidence organised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Questions for solicitor prepared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