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1. Introduction</w:t>
      </w:r>
    </w:p>
    <w:p>
      <w:r>
        <w:t>I, Kennedy Vaughan, make this witness statement from my own knowledge and recollection except where stated otherwise. The facts contained within this statement are true to the best of my knowledge and belief.</w:t>
        <w:br/>
        <w:br/>
        <w:t>This statement has been prepared in support of my claim against Haven Holidays Ltd arising from the purchase and subsequent upgrade of a holiday caravan at Hopton Holiday Village. It explains the circumstances leading to the purchase, the representations that were made to me, the condition of the caravan, the extensive defects that followed, the numerous complaints I made, Haven's responses, the Subject Access Request process, and the financial and personal impact the dispute has had upon me and my family.</w:t>
        <w:br/>
        <w:br/>
        <w:t>My intention throughout has been to present a truthful, chronological and evidence-based account. Wherever possible, the matters referred to in this statement will be supported by emails, correspondence, contracts, complaint records, SAR documents, financial records and other exhibits contained within the litigation bundle.</w:t>
      </w:r>
    </w:p>
    <w:p>
      <w:pPr>
        <w:pStyle w:val="Heading2"/>
      </w:pPr>
      <w:r>
        <w:t>Purpose of this Statement</w:t>
      </w:r>
    </w:p>
    <w:p>
      <w:r>
        <w:t>This Master Witness Statement is intended to provide the Court, solicitors and counsel with a complete factual narrative of the dispute. It should be read together with the Master Chronology, Exhibit Index, Schedule of Loss and supporting documentary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