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MASTER WITNESS STATEMENT</w:t>
      </w:r>
    </w:p>
    <w:p>
      <w:pPr>
        <w:pStyle w:val="Heading2"/>
      </w:pPr>
      <w:r>
        <w:t>5. Representations Made by Aaron</w:t>
      </w:r>
    </w:p>
    <w:p>
      <w:r>
        <w:t>During the discussions surrounding the proposed upgrade, I dealt primarily with Aaron, who was acting on behalf of Haven Holidays in relation to the sale.</w:t>
      </w:r>
    </w:p>
    <w:p>
      <w:r>
        <w:t>I regarded Aaron as someone with knowledge of Haven's products, procedures and ownership arrangements. As a customer, I was entitled to rely upon the information and recommendations provided to me during the sales process.</w:t>
      </w:r>
    </w:p>
    <w:p>
      <w:r>
        <w:t>Throughout our discussions, Aaron made representations which influenced my decision to proceed with the upgrade. Those representations related to the benefits of changing caravans, the suitability of the replacement caravan and my continued ownership at Hopton Holiday Village.</w:t>
      </w:r>
    </w:p>
    <w:p>
      <w:r>
        <w:t>I relied upon those representations when making a significant financial commitment. Had those representations not been made, or had I known the true position, I would have reconsidered whether to proceed with the upgrade.</w:t>
      </w:r>
    </w:p>
    <w:p>
      <w:r>
        <w:t>Following completion of the purchase, the condition of the replacement caravan and the numerous defects that subsequently became apparent did not reflect the expectations created during the sales process. This forms a central part of my complaint against Haven Holidays.</w:t>
      </w:r>
    </w:p>
    <w:p>
      <w:r>
        <w:t>I understand that the Defendant may dispute some aspects of these discussions. However, my recollection is supported by the sequence of subsequent events, my complaints, the documentary evidence and the actions I took immediately after taking possession of the replacement caravan.</w:t>
      </w:r>
    </w:p>
    <w:p>
      <w:r>
        <w:t>The documentary evidence contained within this litigation bundle should therefore be read alongside this section of my witness statement when considering the representations made before the upgrade.</w:t>
      </w:r>
    </w:p>
    <w:p>
      <w:pPr>
        <w:pStyle w:val="Heading2"/>
      </w:pPr>
      <w:r>
        <w:t>Evidence Supporting this Section</w:t>
      </w:r>
    </w:p>
    <w:p>
      <w:pPr>
        <w:pStyle w:val="ListBullet"/>
      </w:pPr>
      <w:r>
        <w:t>Emails and correspondence</w:t>
      </w:r>
    </w:p>
    <w:p>
      <w:pPr>
        <w:pStyle w:val="ListBullet"/>
      </w:pPr>
      <w:r>
        <w:t>Witness Statement</w:t>
      </w:r>
    </w:p>
    <w:p>
      <w:pPr>
        <w:pStyle w:val="ListBullet"/>
      </w:pPr>
      <w:r>
        <w:t>Master Chronology</w:t>
      </w:r>
    </w:p>
    <w:p>
      <w:pPr>
        <w:pStyle w:val="ListBullet"/>
      </w:pPr>
      <w:r>
        <w:t>Complaint history</w:t>
      </w:r>
    </w:p>
    <w:p>
      <w:pPr>
        <w:pStyle w:val="ListBullet"/>
      </w:pPr>
      <w:r>
        <w:t>Sales documentation</w:t>
      </w:r>
    </w:p>
    <w:p>
      <w:pPr>
        <w:pStyle w:val="ListBullet"/>
      </w:pPr>
      <w:r>
        <w:t>Relevant exhibits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