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9. Complaints Made to Haven</w:t>
      </w:r>
    </w:p>
    <w:p>
      <w:r>
        <w:t>Following the discovery of the defects within the replacement caravan, I immediately began reporting my concerns to Haven Holidays. My intention throughout was to provide Haven with a fair opportunity to investigate the issues and carry out the necessary remedial works.</w:t>
      </w:r>
    </w:p>
    <w:p>
      <w:r>
        <w:t>My complaints were made through a variety of channels, including meetings with Haven representatives, emails, telephone conversations and written correspondence. At every stage I attempted to cooperate with Haven in the hope that the defects would be resolved without the need for formal legal action.</w:t>
      </w:r>
    </w:p>
    <w:p>
      <w:r>
        <w:t>As additional defects became apparent, further complaints were submitted. Rather than reducing over time, the volume of correspondence increased because many issues remained unresolved or required repeated reporting after earlier repair attempts had failed.</w:t>
      </w:r>
    </w:p>
    <w:p>
      <w:r>
        <w:t>I maintained detailed records of my communications wherever possible. These records demonstrate that I consistently notified Haven of the problems affecting the caravan and repeatedly requested that appropriate action be taken.</w:t>
      </w:r>
    </w:p>
    <w:p>
      <w:r>
        <w:t>Despite my efforts, the dispute continued over an extended period. Numerous assurances were given that defects would be investigated or rectified, yet significant issues remained outstanding. This resulted in continuing frustration, additional inconvenience and increasing financial loss.</w:t>
      </w:r>
    </w:p>
    <w:p>
      <w:r>
        <w:t>I believe the emails, letters, complaint records and other documents contained within the litigation bundle demonstrate both the extent of my efforts to resolve matters amicably and the prolonged nature of the complaints process.</w:t>
      </w:r>
    </w:p>
    <w:p>
      <w:pPr>
        <w:pStyle w:val="Heading2"/>
      </w:pPr>
      <w:r>
        <w:t>Evidence Supporting this Section</w:t>
      </w:r>
    </w:p>
    <w:p>
      <w:pPr>
        <w:pStyle w:val="ListBullet"/>
      </w:pPr>
      <w:r>
        <w:t>Email correspondence</w:t>
      </w:r>
    </w:p>
    <w:p>
      <w:pPr>
        <w:pStyle w:val="ListBullet"/>
      </w:pPr>
      <w:r>
        <w:t>Haven correspondence register</w:t>
      </w:r>
    </w:p>
    <w:p>
      <w:pPr>
        <w:pStyle w:val="ListBullet"/>
      </w:pPr>
      <w:r>
        <w:t>Complaint history register</w:t>
      </w:r>
    </w:p>
    <w:p>
      <w:pPr>
        <w:pStyle w:val="ListBullet"/>
      </w:pPr>
      <w:r>
        <w:t>Master chronology</w:t>
      </w:r>
    </w:p>
    <w:p>
      <w:pPr>
        <w:pStyle w:val="ListBullet"/>
      </w:pPr>
      <w:r>
        <w:t>Subject Access Request documents</w:t>
      </w:r>
    </w:p>
    <w:p>
      <w:pPr>
        <w:pStyle w:val="ListBullet"/>
      </w:pPr>
      <w:r>
        <w:t>Witness statement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