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WITNESS STATEMENT</w:t>
      </w:r>
    </w:p>
    <w:p>
      <w:pPr>
        <w:pStyle w:val="Heading2"/>
      </w:pPr>
      <w:r>
        <w:t>10. Responses from Haven</w:t>
      </w:r>
    </w:p>
    <w:p>
      <w:r>
        <w:t>Following each complaint that I raised, Haven Holidays provided a variety of responses through meetings, telephone conversations, emails and written correspondence. I remained willing to work constructively with Haven in the hope that the defects would be rectified and the matter resolved without the need for legal proceedings.</w:t>
      </w:r>
    </w:p>
    <w:p>
      <w:r>
        <w:t>On numerous occasions I was given assurances that the reported defects would be investigated, appropriate remedial works would be undertaken and outstanding issues would be addressed. Those assurances influenced my decision to continue cooperating with Haven rather than immediately pursuing formal legal action.</w:t>
      </w:r>
    </w:p>
    <w:p>
      <w:r>
        <w:t>Although some repairs were attempted, many of the responses I received did not resolve the underlying problems. Certain defects remained outstanding, while others required repeated reporting after previous repair attempts had proved unsuccessful or incomplete.</w:t>
      </w:r>
    </w:p>
    <w:p>
      <w:r>
        <w:t>As the dispute continued, my correspondence with Haven became increasingly extensive. I continued to provide information, respond to requests and cooperate with inspections and repair visits wherever possible. Despite these efforts, the overall position remained unresolved.</w:t>
      </w:r>
    </w:p>
    <w:p>
      <w:r>
        <w:t>The prolonged nature of Haven's responses caused significant frustration and uncertainty. Instead of bringing the matter to a satisfactory conclusion, the correspondence demonstrates an ongoing pattern of complaints, inspections, attempted repairs and further reports of unresolved defects.</w:t>
      </w:r>
    </w:p>
    <w:p>
      <w:r>
        <w:t>I believe the documentary evidence contained within this litigation bundle, including emails, letters, complaint records, repair history and Subject Access Request material, accurately reflects both Haven's responses and the length of time over which this dispute continued.</w:t>
      </w:r>
    </w:p>
    <w:p>
      <w:pPr>
        <w:pStyle w:val="Heading2"/>
      </w:pPr>
      <w:r>
        <w:t>Evidence Supporting this Section</w:t>
      </w:r>
    </w:p>
    <w:p>
      <w:pPr>
        <w:pStyle w:val="ListBullet"/>
      </w:pPr>
      <w:r>
        <w:t>Haven correspondence</w:t>
      </w:r>
    </w:p>
    <w:p>
      <w:pPr>
        <w:pStyle w:val="ListBullet"/>
      </w:pPr>
      <w:r>
        <w:t>Email correspondence</w:t>
      </w:r>
    </w:p>
    <w:p>
      <w:pPr>
        <w:pStyle w:val="ListBullet"/>
      </w:pPr>
      <w:r>
        <w:t>Complaint history register</w:t>
      </w:r>
    </w:p>
    <w:p>
      <w:pPr>
        <w:pStyle w:val="ListBullet"/>
      </w:pPr>
      <w:r>
        <w:t>Repair records</w:t>
      </w:r>
    </w:p>
    <w:p>
      <w:pPr>
        <w:pStyle w:val="ListBullet"/>
      </w:pPr>
      <w:r>
        <w:t>Subject Access Request documents</w:t>
      </w:r>
    </w:p>
    <w:p>
      <w:pPr>
        <w:pStyle w:val="ListBullet"/>
      </w:pPr>
      <w:r>
        <w:t>Master Chronology</w:t>
      </w:r>
    </w:p>
    <w:p>
      <w:pPr>
        <w:pStyle w:val="ListBullet"/>
      </w:pPr>
      <w:r>
        <w:t>Witness Statement exhibits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