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11. Involvement of John Mills and Senior Management</w:t>
      </w:r>
    </w:p>
    <w:p>
      <w:r>
        <w:t>Following the continuation of defects and my repeated complaints, the matter was escalated beyond the initial customer service process and became the subject of involvement by senior members of Haven Holidays' management, including John Mills.</w:t>
      </w:r>
    </w:p>
    <w:p>
      <w:r>
        <w:t>My understanding at the time was that escalation to senior management indicated that Haven recognised the seriousness of the issues I had raised and that a satisfactory resolution would now be achieved. I therefore continued to cooperate fully and provided whatever information was requested.</w:t>
      </w:r>
    </w:p>
    <w:p>
      <w:r>
        <w:t>Throughout this period I remained willing to allow Haven every reasonable opportunity to investigate my concerns, inspect the caravan and complete any necessary remedial works. I believed that involving senior management would lead to a comprehensive review of the problems that had developed.</w:t>
      </w:r>
    </w:p>
    <w:p>
      <w:r>
        <w:t>Despite the involvement of senior management, many of the underlying issues remained unresolved. Whilst there were further communications, inspections and discussions, the dispute continued and my confidence that Haven would ultimately resolve matters diminished over time.</w:t>
      </w:r>
    </w:p>
    <w:p>
      <w:r>
        <w:t>I continued to correspond with Haven in good faith and relied upon the assurances that were given during this stage of the complaints process. Unfortunately, despite the passage of considerable time, the outcome remained unsatisfactory and I continued to suffer financial loss, inconvenience and significant distress.</w:t>
      </w:r>
    </w:p>
    <w:p>
      <w:r>
        <w:t>I believe the documentary evidence, including emails, correspondence and the Subject Access Request material, demonstrates both the extent of senior management involvement and the prolonged efforts I made to resolve this dispute without the need for litigation.</w:t>
      </w:r>
    </w:p>
    <w:p>
      <w:pPr>
        <w:pStyle w:val="Heading2"/>
      </w:pPr>
      <w:r>
        <w:t>Evidence Supporting this Section</w:t>
      </w:r>
    </w:p>
    <w:p>
      <w:pPr>
        <w:pStyle w:val="ListBullet"/>
      </w:pPr>
      <w:r>
        <w:t>Correspondence from John Mills</w:t>
      </w:r>
    </w:p>
    <w:p>
      <w:pPr>
        <w:pStyle w:val="ListBullet"/>
      </w:pPr>
      <w:r>
        <w:t>Emails involving senior management</w:t>
      </w:r>
    </w:p>
    <w:p>
      <w:pPr>
        <w:pStyle w:val="ListBullet"/>
      </w:pPr>
      <w:r>
        <w:t>Complaint history</w:t>
      </w:r>
    </w:p>
    <w:p>
      <w:pPr>
        <w:pStyle w:val="ListBullet"/>
      </w:pPr>
      <w:r>
        <w:t>Subject Access Request documents</w:t>
      </w:r>
    </w:p>
    <w:p>
      <w:pPr>
        <w:pStyle w:val="ListBullet"/>
      </w:pPr>
      <w:r>
        <w:t>Master Chronology</w:t>
      </w:r>
    </w:p>
    <w:p>
      <w:pPr>
        <w:pStyle w:val="ListBullet"/>
      </w:pPr>
      <w:r>
        <w:t>Witness Statement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