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12. Subject Access Request (SAR)</w:t>
      </w:r>
    </w:p>
    <w:p>
      <w:r>
        <w:t>I submitted a Subject Access Request ('SAR') to Haven Holidays because I wished to obtain all personal data and documentation relating to my ownership, complaints and dealings with Haven. My objective was to understand fully how my complaints had been handled and to obtain copies of the records held by Haven.</w:t>
      </w:r>
    </w:p>
    <w:p>
      <w:r>
        <w:t>I expected Haven to provide a complete and timely disclosure of the information requested in accordance with its obligations. The documents sought included emails, internal correspondence, complaint records, inspection records, repair information and any other material relating to my case.</w:t>
      </w:r>
    </w:p>
    <w:p>
      <w:r>
        <w:t>In my opinion, the response to my Subject Access Request was significantly delayed. The delay itself caused additional frustration and prolonged my attempts to understand the full history of the dispute.</w:t>
      </w:r>
    </w:p>
    <w:p>
      <w:r>
        <w:t>When the Subject Access Request material was eventually provided, I reviewed it carefully and compared it against my own records. That review formed an important part of my preparation for these proceedings and assisted me in identifying the chronology of events and the handling of my complaints.</w:t>
      </w:r>
    </w:p>
    <w:p>
      <w:r>
        <w:t>I also identified matters which, in my view, required further explanation and clarification. The timing, completeness and content of the disclosure remain relevant to my understanding of how my complaints were managed by Haven throughout the dispute.</w:t>
      </w:r>
    </w:p>
    <w:p>
      <w:r>
        <w:t>The Subject Access Request documentation now forms an important part of the evidence relied upon in this litigation bundle and should be considered alongside the witness statement, chronology, correspondence and other documentary evidence.</w:t>
      </w:r>
    </w:p>
    <w:p>
      <w:pPr>
        <w:pStyle w:val="Heading2"/>
      </w:pPr>
      <w:r>
        <w:t>Evidence Supporting this Section</w:t>
      </w:r>
    </w:p>
    <w:p>
      <w:pPr>
        <w:pStyle w:val="ListBullet"/>
      </w:pPr>
      <w:r>
        <w:t>Subject Access Request correspondence</w:t>
      </w:r>
    </w:p>
    <w:p>
      <w:pPr>
        <w:pStyle w:val="ListBullet"/>
      </w:pPr>
      <w:r>
        <w:t>SAR disclosure documents</w:t>
      </w:r>
    </w:p>
    <w:p>
      <w:pPr>
        <w:pStyle w:val="ListBullet"/>
      </w:pPr>
      <w:r>
        <w:t>Emails</w:t>
      </w:r>
    </w:p>
    <w:p>
      <w:pPr>
        <w:pStyle w:val="ListBullet"/>
      </w:pPr>
      <w:r>
        <w:t>Master Chronology</w:t>
      </w:r>
    </w:p>
    <w:p>
      <w:pPr>
        <w:pStyle w:val="ListBullet"/>
      </w:pPr>
      <w:r>
        <w:t>Witness Statement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