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13. Missing and Late Disclosure</w:t>
      </w:r>
    </w:p>
    <w:p>
      <w:r>
        <w:t>I believe that the disclosure process was incomplete and significantly delayed. Throughout my dealings with Haven Holidays I sought copies of documents that I believed were relevant to understanding how my complaints had been handled.</w:t>
      </w:r>
    </w:p>
    <w:p>
      <w:r>
        <w:t>My Subject Access Request was intended to obtain a complete record of the information held by Haven. However, the material was not provided within the timescale I reasonably expected, and the delay hindered my ability to review the evidence fully.</w:t>
      </w:r>
    </w:p>
    <w:p>
      <w:r>
        <w:t>As I compared the disclosure with my own records, I considered that certain documents, communications and internal records appeared to be missing or required further explanation. This made it difficult to establish a complete picture of the events surrounding my complaints and Haven's handling of the matter.</w:t>
      </w:r>
    </w:p>
    <w:p>
      <w:r>
        <w:t>The delay in disclosure also prolonged the dispute. Rather than allowing me to assess the available evidence promptly, I was required to spend additional time pursuing information and reconciling the documents eventually supplied with my own records.</w:t>
      </w:r>
    </w:p>
    <w:p>
      <w:r>
        <w:t>I rely upon the chronology, correspondence and Subject Access Request documentation to demonstrate the timing of the disclosure process and the effect that the delay had on my ability to progress the matter.</w:t>
      </w:r>
    </w:p>
    <w:p>
      <w:r>
        <w:t>I respectfully invite the Court to consider the disclosure process as part of the overall history of this dispute, alongside the evidence contained within the litigation bundle.</w:t>
      </w:r>
    </w:p>
    <w:p>
      <w:pPr>
        <w:pStyle w:val="Heading2"/>
      </w:pPr>
      <w:r>
        <w:t>Evidence Supporting this Section</w:t>
      </w:r>
    </w:p>
    <w:p>
      <w:pPr>
        <w:pStyle w:val="ListBullet"/>
      </w:pPr>
      <w:r>
        <w:t>Subject Access Request correspondence</w:t>
      </w:r>
    </w:p>
    <w:p>
      <w:pPr>
        <w:pStyle w:val="ListBullet"/>
      </w:pPr>
      <w:r>
        <w:t>Disclosure emails</w:t>
      </w:r>
    </w:p>
    <w:p>
      <w:pPr>
        <w:pStyle w:val="ListBullet"/>
      </w:pPr>
      <w:r>
        <w:t>Master Chronology</w:t>
      </w:r>
    </w:p>
    <w:p>
      <w:pPr>
        <w:pStyle w:val="ListBullet"/>
      </w:pPr>
      <w:r>
        <w:t>Complaint correspondence</w:t>
      </w:r>
    </w:p>
    <w:p>
      <w:pPr>
        <w:pStyle w:val="ListBullet"/>
      </w:pPr>
      <w:r>
        <w:t>Witness Statement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