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15. Effect on My Family</w:t>
      </w:r>
    </w:p>
    <w:p>
      <w:r>
        <w:t>My family purchased the caravan with the genuine hope that it would provide us with a place of comfort and stability during one of the most difficult periods of our lives. Instead, the continuing problems with the caravan and the prolonged dispute with Haven Holidays had the opposite effect.</w:t>
      </w:r>
    </w:p>
    <w:p>
      <w:r>
        <w:t>The dispute placed considerable emotional strain upon my wife and our wider family. Rather than enjoying time together, much of our attention became focused on reporting defects, corresponding with Haven, arranging inspections and pursuing repairs that we believed should never have been necessary.</w:t>
      </w:r>
    </w:p>
    <w:p>
      <w:r>
        <w:t>The ongoing uncertainty, repeated delays and failure to bring the matter to a satisfactory conclusion caused frustration and disappointment over a number of years. Family time that should have been spent making positive memories was instead overshadowed by an unresolved dispute.</w:t>
      </w:r>
    </w:p>
    <w:p>
      <w:r>
        <w:t>The impact of these events extended beyond financial loss. The continuing need to deal with complaints, correspondence and unresolved issues affected our quality of life and placed avoidable pressure upon family relationships.</w:t>
      </w:r>
    </w:p>
    <w:p>
      <w:r>
        <w:t>My intention in bringing this claim is not simply to recover financial losses but also to obtain a fair resolution to a dispute that has had a significant and lasting effect upon my family.</w:t>
      </w:r>
    </w:p>
    <w:p>
      <w:pPr>
        <w:pStyle w:val="Heading2"/>
      </w:pPr>
      <w:r>
        <w:t>Evidence Supporting this Section</w:t>
      </w:r>
    </w:p>
    <w:p>
      <w:pPr>
        <w:pStyle w:val="ListBullet"/>
      </w:pPr>
      <w:r>
        <w:t>Witness Statement</w:t>
      </w:r>
    </w:p>
    <w:p>
      <w:pPr>
        <w:pStyle w:val="ListBullet"/>
      </w:pPr>
      <w:r>
        <w:t>Master Chronology</w:t>
      </w:r>
    </w:p>
    <w:p>
      <w:pPr>
        <w:pStyle w:val="ListBullet"/>
      </w:pPr>
      <w:r>
        <w:t>Complaint correspondence</w:t>
      </w:r>
    </w:p>
    <w:p>
      <w:pPr>
        <w:pStyle w:val="ListBullet"/>
      </w:pPr>
      <w:r>
        <w:t>Subject Access Request documents</w:t>
      </w:r>
    </w:p>
    <w:p>
      <w:pPr>
        <w:pStyle w:val="ListBullet"/>
      </w:pPr>
      <w:r>
        <w:t>Relevant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