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MASTER WITNESS STATEMENT</w:t>
      </w:r>
    </w:p>
    <w:p>
      <w:pPr>
        <w:pStyle w:val="Heading2"/>
      </w:pPr>
      <w:r>
        <w:t>16. Effect on My Health and Wellbeing</w:t>
      </w:r>
    </w:p>
    <w:p>
      <w:r>
        <w:t>I have found the events described in this witness statement extremely difficult to deal with. What began as the purchase of a holiday caravan for my family developed into a dispute that continued over several years, requiring a substantial amount of time, effort and emotional resilience.</w:t>
      </w:r>
    </w:p>
    <w:p>
      <w:r>
        <w:t>The prolonged nature of the dispute had a significant impact upon my mental wellbeing. Repeatedly reporting defects, corresponding with Haven Holidays, pursuing repairs, reviewing documentation and attempting to obtain a fair resolution became an ongoing source of stress and anxiety.</w:t>
      </w:r>
    </w:p>
    <w:p>
      <w:r>
        <w:t>I had previously suffered three brain aneurysms, which affected my health and my ability to deal with prolonged periods of stress. As a consequence, the continuing dispute with Haven was particularly difficult for me to manage and required considerably more effort than might otherwise have been the case.</w:t>
      </w:r>
    </w:p>
    <w:p>
      <w:r>
        <w:t>The unresolved nature of the dispute affected my sleep, concentration and overall sense of wellbeing. Rather than being able to move on from the issues, I found myself repeatedly returning to the same unresolved problems over an extended period.</w:t>
      </w:r>
    </w:p>
    <w:p>
      <w:r>
        <w:t>I have done my best to remain polite, cooperative and objective throughout my dealings with Haven Holidays. My intention has always been to resolve matters fairly rather than create unnecessary conflict. Unfortunately, the continued failure to resolve the issues prolonged the impact upon both my health and my quality of life.</w:t>
      </w:r>
    </w:p>
    <w:p>
      <w:r>
        <w:t>I respectfully ask the Court to take into account the overall effect that this prolonged dispute has had upon me personally, alongside the financial losses and the wider impact upon my family.</w:t>
      </w:r>
    </w:p>
    <w:p>
      <w:pPr>
        <w:pStyle w:val="Heading2"/>
      </w:pPr>
      <w:r>
        <w:t>Evidence Supporting this Section</w:t>
      </w:r>
    </w:p>
    <w:p>
      <w:pPr>
        <w:pStyle w:val="ListBullet"/>
      </w:pPr>
      <w:r>
        <w:t>Medical history (where relevant)</w:t>
      </w:r>
    </w:p>
    <w:p>
      <w:pPr>
        <w:pStyle w:val="ListBullet"/>
      </w:pPr>
      <w:r>
        <w:t>Witness Statement</w:t>
      </w:r>
    </w:p>
    <w:p>
      <w:pPr>
        <w:pStyle w:val="ListBullet"/>
      </w:pPr>
      <w:r>
        <w:t>Master Chronology</w:t>
      </w:r>
    </w:p>
    <w:p>
      <w:pPr>
        <w:pStyle w:val="ListBullet"/>
      </w:pPr>
      <w:r>
        <w:t>Complaint correspondence</w:t>
      </w:r>
    </w:p>
    <w:p>
      <w:pPr>
        <w:pStyle w:val="ListBullet"/>
      </w:pPr>
      <w:r>
        <w:t>Subject Access Request documents</w:t>
      </w:r>
    </w:p>
    <w:p>
      <w:pPr>
        <w:pStyle w:val="ListBullet"/>
      </w:pPr>
      <w:r>
        <w:t>Relevant exhibits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