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LIMITATION TIMELINE</w:t>
      </w:r>
    </w:p>
    <w:p>
      <w:pPr>
        <w:pStyle w:val="Heading2"/>
      </w:pPr>
      <w:r>
        <w:t>Version 0.4 – Complaints to Haven</w:t>
      </w:r>
    </w:p>
    <w:p>
      <w:r>
        <w:t>This section records the progression of complaints made to Haven Holidays after defects were identified. It forms part of the factual chronology and demonstrates the continuing attempts to resolve the dispute without litigation.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Event</w:t>
            </w:r>
          </w:p>
        </w:tc>
        <w:tc>
          <w:tcPr>
            <w:tcW w:type="dxa" w:w="2160"/>
          </w:tcPr>
          <w:p>
            <w:r>
              <w:t>Approximate Date</w:t>
            </w:r>
          </w:p>
        </w:tc>
        <w:tc>
          <w:tcPr>
            <w:tcW w:type="dxa" w:w="2160"/>
          </w:tcPr>
          <w:p>
            <w:r>
              <w:t>Supporting Evidence</w:t>
            </w:r>
          </w:p>
        </w:tc>
      </w:tr>
      <w:tr>
        <w:tc>
          <w:tcPr>
            <w:tcW w:type="dxa" w:w="2160"/>
          </w:tcPr>
          <w:p>
            <w:r>
              <w:t>LT15</w:t>
            </w:r>
          </w:p>
        </w:tc>
        <w:tc>
          <w:tcPr>
            <w:tcW w:type="dxa" w:w="2160"/>
          </w:tcPr>
          <w:p>
            <w:r>
              <w:t>First complaint submitted to Haven</w:t>
            </w:r>
          </w:p>
        </w:tc>
        <w:tc>
          <w:tcPr>
            <w:tcW w:type="dxa" w:w="2160"/>
          </w:tcPr>
          <w:p>
            <w:r>
              <w:t>To populate</w:t>
            </w:r>
          </w:p>
        </w:tc>
        <w:tc>
          <w:tcPr>
            <w:tcW w:type="dxa" w:w="2160"/>
          </w:tcPr>
          <w:p>
            <w:r>
              <w:t>Email / complaint record</w:t>
            </w:r>
          </w:p>
        </w:tc>
      </w:tr>
      <w:tr>
        <w:tc>
          <w:tcPr>
            <w:tcW w:type="dxa" w:w="2160"/>
          </w:tcPr>
          <w:p>
            <w:r>
              <w:t>LT16</w:t>
            </w:r>
          </w:p>
        </w:tc>
        <w:tc>
          <w:tcPr>
            <w:tcW w:type="dxa" w:w="2160"/>
          </w:tcPr>
          <w:p>
            <w:r>
              <w:t>Further complaints regarding outstanding defects</w:t>
            </w:r>
          </w:p>
        </w:tc>
        <w:tc>
          <w:tcPr>
            <w:tcW w:type="dxa" w:w="2160"/>
          </w:tcPr>
          <w:p>
            <w:r>
              <w:t>To populate</w:t>
            </w:r>
          </w:p>
        </w:tc>
        <w:tc>
          <w:tcPr>
            <w:tcW w:type="dxa" w:w="2160"/>
          </w:tcPr>
          <w:p>
            <w:r>
              <w:t>Email correspondence</w:t>
            </w:r>
          </w:p>
        </w:tc>
      </w:tr>
      <w:tr>
        <w:tc>
          <w:tcPr>
            <w:tcW w:type="dxa" w:w="2160"/>
          </w:tcPr>
          <w:p>
            <w:r>
              <w:t>LT17</w:t>
            </w:r>
          </w:p>
        </w:tc>
        <w:tc>
          <w:tcPr>
            <w:tcW w:type="dxa" w:w="2160"/>
          </w:tcPr>
          <w:p>
            <w:r>
              <w:t>Snagging updates provided</w:t>
            </w:r>
          </w:p>
        </w:tc>
        <w:tc>
          <w:tcPr>
            <w:tcW w:type="dxa" w:w="2160"/>
          </w:tcPr>
          <w:p>
            <w:r>
              <w:t>To populate</w:t>
            </w:r>
          </w:p>
        </w:tc>
        <w:tc>
          <w:tcPr>
            <w:tcW w:type="dxa" w:w="2160"/>
          </w:tcPr>
          <w:p>
            <w:r>
              <w:t>Snagging lists</w:t>
            </w:r>
          </w:p>
        </w:tc>
      </w:tr>
      <w:tr>
        <w:tc>
          <w:tcPr>
            <w:tcW w:type="dxa" w:w="2160"/>
          </w:tcPr>
          <w:p>
            <w:r>
              <w:t>LT18</w:t>
            </w:r>
          </w:p>
        </w:tc>
        <w:tc>
          <w:tcPr>
            <w:tcW w:type="dxa" w:w="2160"/>
          </w:tcPr>
          <w:p>
            <w:r>
              <w:t>Assurances and repair commitments received</w:t>
            </w:r>
          </w:p>
        </w:tc>
        <w:tc>
          <w:tcPr>
            <w:tcW w:type="dxa" w:w="2160"/>
          </w:tcPr>
          <w:p>
            <w:r>
              <w:t>To populate</w:t>
            </w:r>
          </w:p>
        </w:tc>
        <w:tc>
          <w:tcPr>
            <w:tcW w:type="dxa" w:w="2160"/>
          </w:tcPr>
          <w:p>
            <w:r>
              <w:t>Emails / letters</w:t>
            </w:r>
          </w:p>
        </w:tc>
      </w:tr>
      <w:tr>
        <w:tc>
          <w:tcPr>
            <w:tcW w:type="dxa" w:w="2160"/>
          </w:tcPr>
          <w:p>
            <w:r>
              <w:t>LT19</w:t>
            </w:r>
          </w:p>
        </w:tc>
        <w:tc>
          <w:tcPr>
            <w:tcW w:type="dxa" w:w="2160"/>
          </w:tcPr>
          <w:p>
            <w:r>
              <w:t>Complaints continue due to unresolved issues</w:t>
            </w:r>
          </w:p>
        </w:tc>
        <w:tc>
          <w:tcPr>
            <w:tcW w:type="dxa" w:w="2160"/>
          </w:tcPr>
          <w:p>
            <w:r>
              <w:t>To populate</w:t>
            </w:r>
          </w:p>
        </w:tc>
        <w:tc>
          <w:tcPr>
            <w:tcW w:type="dxa" w:w="2160"/>
          </w:tcPr>
          <w:p>
            <w:r>
              <w:t>Master chronology / correspondence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