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CHRONOLOGY</w:t>
      </w:r>
    </w:p>
    <w:p>
      <w:pPr>
        <w:pStyle w:val="Heading2"/>
      </w:pPr>
      <w:r>
        <w:t>Version 1.0 – Foundation Chronology from Subject Access Request</w:t>
      </w:r>
    </w:p>
    <w:p>
      <w:r>
        <w:t>This document is the foundation of the court chronology. It records the principal events identified from Haven Holidays' Subject Access Request and will be expanded with exhibit references, correspondence, photographs, witness evidence and other documents as the litigation bundle is finalised.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Ref</w:t>
            </w:r>
          </w:p>
        </w:tc>
        <w:tc>
          <w:tcPr>
            <w:tcW w:type="dxa" w:w="1728"/>
          </w:tcPr>
          <w:p>
            <w:r>
              <w:t>Date</w:t>
            </w:r>
          </w:p>
        </w:tc>
        <w:tc>
          <w:tcPr>
            <w:tcW w:type="dxa" w:w="1728"/>
          </w:tcPr>
          <w:p>
            <w:r>
              <w:t>Event</w:t>
            </w:r>
          </w:p>
        </w:tc>
        <w:tc>
          <w:tcPr>
            <w:tcW w:type="dxa" w:w="1728"/>
          </w:tcPr>
          <w:p>
            <w:r>
              <w:t>Primary Evidence</w:t>
            </w:r>
          </w:p>
        </w:tc>
        <w:tc>
          <w:tcPr>
            <w:tcW w:type="dxa" w:w="1728"/>
          </w:tcPr>
          <w:p>
            <w:r>
              <w:t>Exhibit</w:t>
            </w:r>
          </w:p>
        </w:tc>
      </w:tr>
      <w:tr>
        <w:tc>
          <w:tcPr>
            <w:tcW w:type="dxa" w:w="1728"/>
          </w:tcPr>
          <w:p>
            <w:r>
              <w:t>MC001</w:t>
            </w:r>
          </w:p>
        </w:tc>
        <w:tc>
          <w:tcPr>
            <w:tcW w:type="dxa" w:w="1728"/>
          </w:tcPr>
          <w:p>
            <w:r>
              <w:t>01/05/2017</w:t>
            </w:r>
          </w:p>
        </w:tc>
        <w:tc>
          <w:tcPr>
            <w:tcW w:type="dxa" w:w="1728"/>
          </w:tcPr>
          <w:p>
            <w:r>
              <w:t>Original caravan purchased</w:t>
            </w:r>
          </w:p>
        </w:tc>
        <w:tc>
          <w:tcPr>
            <w:tcW w:type="dxa" w:w="1728"/>
          </w:tcPr>
          <w:p>
            <w:r>
              <w:t>Purchase records / SAR</w:t>
            </w:r>
          </w:p>
        </w:tc>
        <w:tc>
          <w:tcPr>
            <w:tcW w:type="dxa" w:w="1728"/>
          </w:tcPr>
          <w:p>
            <w:r>
              <w:t>To allocate</w:t>
            </w:r>
          </w:p>
        </w:tc>
      </w:tr>
      <w:tr>
        <w:tc>
          <w:tcPr>
            <w:tcW w:type="dxa" w:w="1728"/>
          </w:tcPr>
          <w:p>
            <w:r>
              <w:t>MC002</w:t>
            </w:r>
          </w:p>
        </w:tc>
        <w:tc>
          <w:tcPr>
            <w:tcW w:type="dxa" w:w="1728"/>
          </w:tcPr>
          <w:p>
            <w:r>
              <w:t>07/05/2018</w:t>
            </w:r>
          </w:p>
        </w:tc>
        <w:tc>
          <w:tcPr>
            <w:tcW w:type="dxa" w:w="1728"/>
          </w:tcPr>
          <w:p>
            <w:r>
              <w:t>Replacement caravan purchased (Part Exchange)</w:t>
            </w:r>
          </w:p>
        </w:tc>
        <w:tc>
          <w:tcPr>
            <w:tcW w:type="dxa" w:w="1728"/>
          </w:tcPr>
          <w:p>
            <w:r>
              <w:t>SAR / Upgrade paperwork</w:t>
            </w:r>
          </w:p>
        </w:tc>
        <w:tc>
          <w:tcPr>
            <w:tcW w:type="dxa" w:w="1728"/>
          </w:tcPr>
          <w:p>
            <w:r>
              <w:t>To allocate</w:t>
            </w:r>
          </w:p>
        </w:tc>
      </w:tr>
      <w:tr>
        <w:tc>
          <w:tcPr>
            <w:tcW w:type="dxa" w:w="1728"/>
          </w:tcPr>
          <w:p>
            <w:r>
              <w:t>MC003</w:t>
            </w:r>
          </w:p>
        </w:tc>
        <w:tc>
          <w:tcPr>
            <w:tcW w:type="dxa" w:w="1728"/>
          </w:tcPr>
          <w:p>
            <w:r>
              <w:t>June–July 2018</w:t>
            </w:r>
          </w:p>
        </w:tc>
        <w:tc>
          <w:tcPr>
            <w:tcW w:type="dxa" w:w="1728"/>
          </w:tcPr>
          <w:p>
            <w:r>
              <w:t>Defects and snagging emerge</w:t>
            </w:r>
          </w:p>
        </w:tc>
        <w:tc>
          <w:tcPr>
            <w:tcW w:type="dxa" w:w="1728"/>
          </w:tcPr>
          <w:p>
            <w:r>
              <w:t>Snagging records</w:t>
            </w:r>
          </w:p>
        </w:tc>
        <w:tc>
          <w:tcPr>
            <w:tcW w:type="dxa" w:w="1728"/>
          </w:tcPr>
          <w:p>
            <w:r>
              <w:t>To allocate</w:t>
            </w:r>
          </w:p>
        </w:tc>
      </w:tr>
      <w:tr>
        <w:tc>
          <w:tcPr>
            <w:tcW w:type="dxa" w:w="1728"/>
          </w:tcPr>
          <w:p>
            <w:r>
              <w:t>MC004</w:t>
            </w:r>
          </w:p>
        </w:tc>
        <w:tc>
          <w:tcPr>
            <w:tcW w:type="dxa" w:w="1728"/>
          </w:tcPr>
          <w:p>
            <w:r>
              <w:t>30/07/2018</w:t>
            </w:r>
          </w:p>
        </w:tc>
        <w:tc>
          <w:tcPr>
            <w:tcW w:type="dxa" w:w="1728"/>
          </w:tcPr>
          <w:p>
            <w:r>
              <w:t>Complaint 5454 opened</w:t>
            </w:r>
          </w:p>
        </w:tc>
        <w:tc>
          <w:tcPr>
            <w:tcW w:type="dxa" w:w="1728"/>
          </w:tcPr>
          <w:p>
            <w:r>
              <w:t>SAR complaint log</w:t>
            </w:r>
          </w:p>
        </w:tc>
        <w:tc>
          <w:tcPr>
            <w:tcW w:type="dxa" w:w="1728"/>
          </w:tcPr>
          <w:p>
            <w:r>
              <w:t>To allocate</w:t>
            </w:r>
          </w:p>
        </w:tc>
      </w:tr>
      <w:tr>
        <w:tc>
          <w:tcPr>
            <w:tcW w:type="dxa" w:w="1728"/>
          </w:tcPr>
          <w:p>
            <w:r>
              <w:t>MC005</w:t>
            </w:r>
          </w:p>
        </w:tc>
        <w:tc>
          <w:tcPr>
            <w:tcW w:type="dxa" w:w="1728"/>
          </w:tcPr>
          <w:p>
            <w:r>
              <w:t>31/07/2018 onwards</w:t>
            </w:r>
          </w:p>
        </w:tc>
        <w:tc>
          <w:tcPr>
            <w:tcW w:type="dxa" w:w="1728"/>
          </w:tcPr>
          <w:p>
            <w:r>
              <w:t>Documents added to complaint</w:t>
            </w:r>
          </w:p>
        </w:tc>
        <w:tc>
          <w:tcPr>
            <w:tcW w:type="dxa" w:w="1728"/>
          </w:tcPr>
          <w:p>
            <w:r>
              <w:t>SAR</w:t>
            </w:r>
          </w:p>
        </w:tc>
        <w:tc>
          <w:tcPr>
            <w:tcW w:type="dxa" w:w="1728"/>
          </w:tcPr>
          <w:p>
            <w:r>
              <w:t>To allocate</w:t>
            </w:r>
          </w:p>
        </w:tc>
      </w:tr>
      <w:tr>
        <w:tc>
          <w:tcPr>
            <w:tcW w:type="dxa" w:w="1728"/>
          </w:tcPr>
          <w:p>
            <w:r>
              <w:t>MC006</w:t>
            </w:r>
          </w:p>
        </w:tc>
        <w:tc>
          <w:tcPr>
            <w:tcW w:type="dxa" w:w="1728"/>
          </w:tcPr>
          <w:p>
            <w:r>
              <w:t>01/11/2019</w:t>
            </w:r>
          </w:p>
        </w:tc>
        <w:tc>
          <w:tcPr>
            <w:tcW w:type="dxa" w:w="1728"/>
          </w:tcPr>
          <w:p>
            <w:r>
              <w:t>Complaint re-opened</w:t>
            </w:r>
          </w:p>
        </w:tc>
        <w:tc>
          <w:tcPr>
            <w:tcW w:type="dxa" w:w="1728"/>
          </w:tcPr>
          <w:p>
            <w:r>
              <w:t>SAR</w:t>
            </w:r>
          </w:p>
        </w:tc>
        <w:tc>
          <w:tcPr>
            <w:tcW w:type="dxa" w:w="1728"/>
          </w:tcPr>
          <w:p>
            <w:r>
              <w:t>To allocate</w:t>
            </w:r>
          </w:p>
        </w:tc>
      </w:tr>
      <w:tr>
        <w:tc>
          <w:tcPr>
            <w:tcW w:type="dxa" w:w="1728"/>
          </w:tcPr>
          <w:p>
            <w:r>
              <w:t>MC007</w:t>
            </w:r>
          </w:p>
        </w:tc>
        <w:tc>
          <w:tcPr>
            <w:tcW w:type="dxa" w:w="1728"/>
          </w:tcPr>
          <w:p>
            <w:r>
              <w:t>12/11/2019</w:t>
            </w:r>
          </w:p>
        </w:tc>
        <w:tc>
          <w:tcPr>
            <w:tcW w:type="dxa" w:w="1728"/>
          </w:tcPr>
          <w:p>
            <w:r>
              <w:t>Complaint closed by Haven</w:t>
            </w:r>
          </w:p>
        </w:tc>
        <w:tc>
          <w:tcPr>
            <w:tcW w:type="dxa" w:w="1728"/>
          </w:tcPr>
          <w:p>
            <w:r>
              <w:t>SAR</w:t>
            </w:r>
          </w:p>
        </w:tc>
        <w:tc>
          <w:tcPr>
            <w:tcW w:type="dxa" w:w="1728"/>
          </w:tcPr>
          <w:p>
            <w:r>
              <w:t>To allocate</w:t>
            </w:r>
          </w:p>
        </w:tc>
      </w:tr>
      <w:tr>
        <w:tc>
          <w:tcPr>
            <w:tcW w:type="dxa" w:w="1728"/>
          </w:tcPr>
          <w:p>
            <w:r>
              <w:t>MC008</w:t>
            </w:r>
          </w:p>
        </w:tc>
        <w:tc>
          <w:tcPr>
            <w:tcW w:type="dxa" w:w="1728"/>
          </w:tcPr>
          <w:p>
            <w:r>
              <w:t>03/06/2025</w:t>
            </w:r>
          </w:p>
        </w:tc>
        <w:tc>
          <w:tcPr>
            <w:tcW w:type="dxa" w:w="1728"/>
          </w:tcPr>
          <w:p>
            <w:r>
              <w:t>Subject Access Request submitted</w:t>
            </w:r>
          </w:p>
        </w:tc>
        <w:tc>
          <w:tcPr>
            <w:tcW w:type="dxa" w:w="1728"/>
          </w:tcPr>
          <w:p>
            <w:r>
              <w:t>SAR correspondence</w:t>
            </w:r>
          </w:p>
        </w:tc>
        <w:tc>
          <w:tcPr>
            <w:tcW w:type="dxa" w:w="1728"/>
          </w:tcPr>
          <w:p>
            <w:r>
              <w:t>To allocate</w:t>
            </w:r>
          </w:p>
        </w:tc>
      </w:tr>
      <w:tr>
        <w:tc>
          <w:tcPr>
            <w:tcW w:type="dxa" w:w="1728"/>
          </w:tcPr>
          <w:p>
            <w:r>
              <w:t>MC009</w:t>
            </w:r>
          </w:p>
        </w:tc>
        <w:tc>
          <w:tcPr>
            <w:tcW w:type="dxa" w:w="1728"/>
          </w:tcPr>
          <w:p>
            <w:r>
              <w:t>17/01/2026</w:t>
            </w:r>
          </w:p>
        </w:tc>
        <w:tc>
          <w:tcPr>
            <w:tcW w:type="dxa" w:w="1728"/>
          </w:tcPr>
          <w:p>
            <w:r>
              <w:t>SAR disclosure received</w:t>
            </w:r>
          </w:p>
        </w:tc>
        <w:tc>
          <w:tcPr>
            <w:tcW w:type="dxa" w:w="1728"/>
          </w:tcPr>
          <w:p>
            <w:r>
              <w:t>SAR disclosure</w:t>
            </w:r>
          </w:p>
        </w:tc>
        <w:tc>
          <w:tcPr>
            <w:tcW w:type="dxa" w:w="1728"/>
          </w:tcPr>
          <w:p>
            <w:r>
              <w:t>To allocate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