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CHRONOLOGY</w:t>
      </w:r>
    </w:p>
    <w:p>
      <w:pPr>
        <w:pStyle w:val="Heading2"/>
      </w:pPr>
      <w:r>
        <w:t>Version 1.3 – Complaint Management and Resolution Process</w:t>
      </w:r>
    </w:p>
    <w:p>
      <w:r>
        <w:t>This section records the progression of Haven's internal complaint handling, including actions taken, documents received, acknowledgements, re-opening of the complaint and final closure. Dates are derived from the Subject Access Request and will be cross-referenced to exhibits.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Event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  <w:tc>
          <w:tcPr>
            <w:tcW w:type="dxa" w:w="1728"/>
          </w:tcPr>
          <w:p>
            <w:r>
              <w:t>Exhibit</w:t>
            </w:r>
          </w:p>
        </w:tc>
      </w:tr>
      <w:tr>
        <w:tc>
          <w:tcPr>
            <w:tcW w:type="dxa" w:w="1728"/>
          </w:tcPr>
          <w:p>
            <w:r>
              <w:t>MC026</w:t>
            </w:r>
          </w:p>
        </w:tc>
        <w:tc>
          <w:tcPr>
            <w:tcW w:type="dxa" w:w="1728"/>
          </w:tcPr>
          <w:p>
            <w:r>
              <w:t>30/07/2018</w:t>
            </w:r>
          </w:p>
        </w:tc>
        <w:tc>
          <w:tcPr>
            <w:tcW w:type="dxa" w:w="1728"/>
          </w:tcPr>
          <w:p>
            <w:r>
              <w:t>Complaint allocated to Gillian Churchyard</w:t>
            </w:r>
          </w:p>
        </w:tc>
        <w:tc>
          <w:tcPr>
            <w:tcW w:type="dxa" w:w="1728"/>
          </w:tcPr>
          <w:p>
            <w:r>
              <w:t>SAR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  <w:tr>
        <w:tc>
          <w:tcPr>
            <w:tcW w:type="dxa" w:w="1728"/>
          </w:tcPr>
          <w:p>
            <w:r>
              <w:t>MC027</w:t>
            </w:r>
          </w:p>
        </w:tc>
        <w:tc>
          <w:tcPr>
            <w:tcW w:type="dxa" w:w="1728"/>
          </w:tcPr>
          <w:p>
            <w:r>
              <w:t>31/07/2018</w:t>
            </w:r>
          </w:p>
        </w:tc>
        <w:tc>
          <w:tcPr>
            <w:tcW w:type="dxa" w:w="1728"/>
          </w:tcPr>
          <w:p>
            <w:r>
              <w:t>Complaint documents received</w:t>
            </w:r>
          </w:p>
        </w:tc>
        <w:tc>
          <w:tcPr>
            <w:tcW w:type="dxa" w:w="1728"/>
          </w:tcPr>
          <w:p>
            <w:r>
              <w:t>SAR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  <w:tr>
        <w:tc>
          <w:tcPr>
            <w:tcW w:type="dxa" w:w="1728"/>
          </w:tcPr>
          <w:p>
            <w:r>
              <w:t>MC028</w:t>
            </w:r>
          </w:p>
        </w:tc>
        <w:tc>
          <w:tcPr>
            <w:tcW w:type="dxa" w:w="1728"/>
          </w:tcPr>
          <w:p>
            <w:r>
              <w:t>03/08/2018</w:t>
            </w:r>
          </w:p>
        </w:tc>
        <w:tc>
          <w:tcPr>
            <w:tcW w:type="dxa" w:w="1728"/>
          </w:tcPr>
          <w:p>
            <w:r>
              <w:t>Further documentation received</w:t>
            </w:r>
          </w:p>
        </w:tc>
        <w:tc>
          <w:tcPr>
            <w:tcW w:type="dxa" w:w="1728"/>
          </w:tcPr>
          <w:p>
            <w:r>
              <w:t>SAR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  <w:tr>
        <w:tc>
          <w:tcPr>
            <w:tcW w:type="dxa" w:w="1728"/>
          </w:tcPr>
          <w:p>
            <w:r>
              <w:t>MC029</w:t>
            </w:r>
          </w:p>
        </w:tc>
        <w:tc>
          <w:tcPr>
            <w:tcW w:type="dxa" w:w="1728"/>
          </w:tcPr>
          <w:p>
            <w:r>
              <w:t>08/08/2018</w:t>
            </w:r>
          </w:p>
        </w:tc>
        <w:tc>
          <w:tcPr>
            <w:tcW w:type="dxa" w:w="1728"/>
          </w:tcPr>
          <w:p>
            <w:r>
              <w:t>Acknowledgement/action with complainant</w:t>
            </w:r>
          </w:p>
        </w:tc>
        <w:tc>
          <w:tcPr>
            <w:tcW w:type="dxa" w:w="1728"/>
          </w:tcPr>
          <w:p>
            <w:r>
              <w:t>SAR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  <w:tr>
        <w:tc>
          <w:tcPr>
            <w:tcW w:type="dxa" w:w="1728"/>
          </w:tcPr>
          <w:p>
            <w:r>
              <w:t>MC030</w:t>
            </w:r>
          </w:p>
        </w:tc>
        <w:tc>
          <w:tcPr>
            <w:tcW w:type="dxa" w:w="1728"/>
          </w:tcPr>
          <w:p>
            <w:r>
              <w:t>01/11/2019</w:t>
            </w:r>
          </w:p>
        </w:tc>
        <w:tc>
          <w:tcPr>
            <w:tcW w:type="dxa" w:w="1728"/>
          </w:tcPr>
          <w:p>
            <w:r>
              <w:t>Complaint re-opened</w:t>
            </w:r>
          </w:p>
        </w:tc>
        <w:tc>
          <w:tcPr>
            <w:tcW w:type="dxa" w:w="1728"/>
          </w:tcPr>
          <w:p>
            <w:r>
              <w:t>SAR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  <w:tr>
        <w:tc>
          <w:tcPr>
            <w:tcW w:type="dxa" w:w="1728"/>
          </w:tcPr>
          <w:p>
            <w:r>
              <w:t>MC031</w:t>
            </w:r>
          </w:p>
        </w:tc>
        <w:tc>
          <w:tcPr>
            <w:tcW w:type="dxa" w:w="1728"/>
          </w:tcPr>
          <w:p>
            <w:r>
              <w:t>01/11/2019</w:t>
            </w:r>
          </w:p>
        </w:tc>
        <w:tc>
          <w:tcPr>
            <w:tcW w:type="dxa" w:w="1728"/>
          </w:tcPr>
          <w:p>
            <w:r>
              <w:t>Additional comments and documents added</w:t>
            </w:r>
          </w:p>
        </w:tc>
        <w:tc>
          <w:tcPr>
            <w:tcW w:type="dxa" w:w="1728"/>
          </w:tcPr>
          <w:p>
            <w:r>
              <w:t>SAR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  <w:tr>
        <w:tc>
          <w:tcPr>
            <w:tcW w:type="dxa" w:w="1728"/>
          </w:tcPr>
          <w:p>
            <w:r>
              <w:t>MC032</w:t>
            </w:r>
          </w:p>
        </w:tc>
        <w:tc>
          <w:tcPr>
            <w:tcW w:type="dxa" w:w="1728"/>
          </w:tcPr>
          <w:p>
            <w:r>
              <w:t>12/11/2019</w:t>
            </w:r>
          </w:p>
        </w:tc>
        <w:tc>
          <w:tcPr>
            <w:tcW w:type="dxa" w:w="1728"/>
          </w:tcPr>
          <w:p>
            <w:r>
              <w:t>Complaint closed as 'Resolved'</w:t>
            </w:r>
          </w:p>
        </w:tc>
        <w:tc>
          <w:tcPr>
            <w:tcW w:type="dxa" w:w="1728"/>
          </w:tcPr>
          <w:p>
            <w:r>
              <w:t>SAR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  <w:tr>
        <w:tc>
          <w:tcPr>
            <w:tcW w:type="dxa" w:w="1728"/>
          </w:tcPr>
          <w:p>
            <w:r>
              <w:t>MC033</w:t>
            </w:r>
          </w:p>
        </w:tc>
        <w:tc>
          <w:tcPr>
            <w:tcW w:type="dxa" w:w="1728"/>
          </w:tcPr>
          <w:p>
            <w:r>
              <w:t>26/11/2019</w:t>
            </w:r>
          </w:p>
        </w:tc>
        <w:tc>
          <w:tcPr>
            <w:tcW w:type="dxa" w:w="1728"/>
          </w:tcPr>
          <w:p>
            <w:r>
              <w:t>Post-closure correspondence regarding account</w:t>
            </w:r>
          </w:p>
        </w:tc>
        <w:tc>
          <w:tcPr>
            <w:tcW w:type="dxa" w:w="1728"/>
          </w:tcPr>
          <w:p>
            <w:r>
              <w:t>SAR / Email</w:t>
            </w:r>
          </w:p>
        </w:tc>
        <w:tc>
          <w:tcPr>
            <w:tcW w:type="dxa" w:w="1728"/>
          </w:tcPr>
          <w:p>
            <w:r>
              <w:t>To allocate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