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LIMITATION TIMELINE</w:t>
      </w:r>
    </w:p>
    <w:p>
      <w:pPr>
        <w:pStyle w:val="Heading2"/>
      </w:pPr>
      <w:r>
        <w:t>Version 2.0 – Built from Haven Subject Access Request</w:t>
      </w:r>
    </w:p>
    <w:p>
      <w:r>
        <w:t>This working chronology is extracted from Haven Holidays' own Subject Access Request (SAR) records and is intended to assist legal representatives in assessing the sequence of events relevant to limitation and the progression of the dispute.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Event</w:t>
            </w:r>
          </w:p>
        </w:tc>
        <w:tc>
          <w:tcPr>
            <w:tcW w:type="dxa" w:w="2160"/>
          </w:tcPr>
          <w:p>
            <w:r>
              <w:t>Source</w:t>
            </w:r>
          </w:p>
        </w:tc>
        <w:tc>
          <w:tcPr>
            <w:tcW w:type="dxa" w:w="2160"/>
          </w:tcPr>
          <w:p>
            <w:r>
              <w:t>Notes</w:t>
            </w:r>
          </w:p>
        </w:tc>
      </w:tr>
      <w:tr>
        <w:tc>
          <w:tcPr>
            <w:tcW w:type="dxa" w:w="2160"/>
          </w:tcPr>
          <w:p>
            <w:r>
              <w:t>01/05/2017</w:t>
            </w:r>
          </w:p>
        </w:tc>
        <w:tc>
          <w:tcPr>
            <w:tcW w:type="dxa" w:w="2160"/>
          </w:tcPr>
          <w:p>
            <w:r>
              <w:t>Original caravan purchase completed</w:t>
            </w:r>
          </w:p>
        </w:tc>
        <w:tc>
          <w:tcPr>
            <w:tcW w:type="dxa" w:w="2160"/>
          </w:tcPr>
          <w:p>
            <w:r>
              <w:t>SAR</w:t>
            </w:r>
          </w:p>
        </w:tc>
        <w:tc>
          <w:tcPr>
            <w:tcW w:type="dxa" w:w="2160"/>
          </w:tcPr>
          <w:p>
            <w:r>
              <w:t>Ownership commenced</w:t>
            </w:r>
          </w:p>
        </w:tc>
      </w:tr>
      <w:tr>
        <w:tc>
          <w:tcPr>
            <w:tcW w:type="dxa" w:w="2160"/>
          </w:tcPr>
          <w:p>
            <w:r>
              <w:t>07/05/2018</w:t>
            </w:r>
          </w:p>
        </w:tc>
        <w:tc>
          <w:tcPr>
            <w:tcW w:type="dxa" w:w="2160"/>
          </w:tcPr>
          <w:p>
            <w:r>
              <w:t>Replacement caravan / part exchange completed</w:t>
            </w:r>
          </w:p>
        </w:tc>
        <w:tc>
          <w:tcPr>
            <w:tcW w:type="dxa" w:w="2160"/>
          </w:tcPr>
          <w:p>
            <w:r>
              <w:t>SAR</w:t>
            </w:r>
          </w:p>
        </w:tc>
        <w:tc>
          <w:tcPr>
            <w:tcW w:type="dxa" w:w="2160"/>
          </w:tcPr>
          <w:p>
            <w:r>
              <w:t>Upgrade transaction</w:t>
            </w:r>
          </w:p>
        </w:tc>
      </w:tr>
      <w:tr>
        <w:tc>
          <w:tcPr>
            <w:tcW w:type="dxa" w:w="2160"/>
          </w:tcPr>
          <w:p>
            <w:r>
              <w:t>June 2018</w:t>
            </w:r>
          </w:p>
        </w:tc>
        <w:tc>
          <w:tcPr>
            <w:tcW w:type="dxa" w:w="2160"/>
          </w:tcPr>
          <w:p>
            <w:r>
              <w:t>Replacement caravan in use</w:t>
            </w:r>
          </w:p>
        </w:tc>
        <w:tc>
          <w:tcPr>
            <w:tcW w:type="dxa" w:w="2160"/>
          </w:tcPr>
          <w:p>
            <w:r>
              <w:t>SAR</w:t>
            </w:r>
          </w:p>
        </w:tc>
        <w:tc>
          <w:tcPr>
            <w:tcW w:type="dxa" w:w="2160"/>
          </w:tcPr>
          <w:p>
            <w:r>
              <w:t>Period when snagging issues developed</w:t>
            </w:r>
          </w:p>
        </w:tc>
      </w:tr>
      <w:tr>
        <w:tc>
          <w:tcPr>
            <w:tcW w:type="dxa" w:w="2160"/>
          </w:tcPr>
          <w:p>
            <w:r>
              <w:t>30/07/2018</w:t>
            </w:r>
          </w:p>
        </w:tc>
        <w:tc>
          <w:tcPr>
            <w:tcW w:type="dxa" w:w="2160"/>
          </w:tcPr>
          <w:p>
            <w:r>
              <w:t>Formal complaint opened (Complaint ID 5454)</w:t>
            </w:r>
          </w:p>
        </w:tc>
        <w:tc>
          <w:tcPr>
            <w:tcW w:type="dxa" w:w="2160"/>
          </w:tcPr>
          <w:p>
            <w:r>
              <w:t>SAR</w:t>
            </w:r>
          </w:p>
        </w:tc>
        <w:tc>
          <w:tcPr>
            <w:tcW w:type="dxa" w:w="2160"/>
          </w:tcPr>
          <w:p>
            <w:r>
              <w:t>Complaint allocated</w:t>
            </w:r>
          </w:p>
        </w:tc>
      </w:tr>
      <w:tr>
        <w:tc>
          <w:tcPr>
            <w:tcW w:type="dxa" w:w="2160"/>
          </w:tcPr>
          <w:p>
            <w:r>
              <w:t>30/07/2018</w:t>
            </w:r>
          </w:p>
        </w:tc>
        <w:tc>
          <w:tcPr>
            <w:tcW w:type="dxa" w:w="2160"/>
          </w:tcPr>
          <w:p>
            <w:r>
              <w:t>Complaint records extensive unresolved snagging</w:t>
            </w:r>
          </w:p>
        </w:tc>
        <w:tc>
          <w:tcPr>
            <w:tcW w:type="dxa" w:w="2160"/>
          </w:tcPr>
          <w:p>
            <w:r>
              <w:t>SAR</w:t>
            </w:r>
          </w:p>
        </w:tc>
        <w:tc>
          <w:tcPr>
            <w:tcW w:type="dxa" w:w="2160"/>
          </w:tcPr>
          <w:p>
            <w:r>
              <w:t>Breach of contract alleged</w:t>
            </w:r>
          </w:p>
        </w:tc>
      </w:tr>
      <w:tr>
        <w:tc>
          <w:tcPr>
            <w:tcW w:type="dxa" w:w="2160"/>
          </w:tcPr>
          <w:p>
            <w:r>
              <w:t>31/07/2018 onwards</w:t>
            </w:r>
          </w:p>
        </w:tc>
        <w:tc>
          <w:tcPr>
            <w:tcW w:type="dxa" w:w="2160"/>
          </w:tcPr>
          <w:p>
            <w:r>
              <w:t>Documents and evidence added to complaint</w:t>
            </w:r>
          </w:p>
        </w:tc>
        <w:tc>
          <w:tcPr>
            <w:tcW w:type="dxa" w:w="2160"/>
          </w:tcPr>
          <w:p>
            <w:r>
              <w:t>SAR</w:t>
            </w:r>
          </w:p>
        </w:tc>
        <w:tc>
          <w:tcPr>
            <w:tcW w:type="dxa" w:w="2160"/>
          </w:tcPr>
          <w:p>
            <w:r>
              <w:t>Complaint actively managed</w:t>
            </w:r>
          </w:p>
        </w:tc>
      </w:tr>
      <w:tr>
        <w:tc>
          <w:tcPr>
            <w:tcW w:type="dxa" w:w="2160"/>
          </w:tcPr>
          <w:p>
            <w:r>
              <w:t>01/11/2019</w:t>
            </w:r>
          </w:p>
        </w:tc>
        <w:tc>
          <w:tcPr>
            <w:tcW w:type="dxa" w:w="2160"/>
          </w:tcPr>
          <w:p>
            <w:r>
              <w:t>Complaint re-opened</w:t>
            </w:r>
          </w:p>
        </w:tc>
        <w:tc>
          <w:tcPr>
            <w:tcW w:type="dxa" w:w="2160"/>
          </w:tcPr>
          <w:p>
            <w:r>
              <w:t>SAR</w:t>
            </w:r>
          </w:p>
        </w:tc>
        <w:tc>
          <w:tcPr>
            <w:tcW w:type="dxa" w:w="2160"/>
          </w:tcPr>
          <w:p>
            <w:r>
              <w:t>Further evidence received</w:t>
            </w:r>
          </w:p>
        </w:tc>
      </w:tr>
      <w:tr>
        <w:tc>
          <w:tcPr>
            <w:tcW w:type="dxa" w:w="2160"/>
          </w:tcPr>
          <w:p>
            <w:r>
              <w:t>12/11/2019</w:t>
            </w:r>
          </w:p>
        </w:tc>
        <w:tc>
          <w:tcPr>
            <w:tcW w:type="dxa" w:w="2160"/>
          </w:tcPr>
          <w:p>
            <w:r>
              <w:t>Complaint marked resolved by Haven</w:t>
            </w:r>
          </w:p>
        </w:tc>
        <w:tc>
          <w:tcPr>
            <w:tcW w:type="dxa" w:w="2160"/>
          </w:tcPr>
          <w:p>
            <w:r>
              <w:t>SAR</w:t>
            </w:r>
          </w:p>
        </w:tc>
        <w:tc>
          <w:tcPr>
            <w:tcW w:type="dxa" w:w="2160"/>
          </w:tcPr>
          <w:p>
            <w:r>
              <w:t>Internal closure</w:t>
            </w:r>
          </w:p>
        </w:tc>
      </w:tr>
    </w:tbl>
    <w:p>
      <w:pPr>
        <w:pStyle w:val="Heading2"/>
      </w:pPr>
      <w:r>
        <w:t>Next Stage</w:t>
      </w:r>
    </w:p>
    <w:p>
      <w:r>
        <w:t>This is the foundation document. The completed Master Limitation Timeline will expand to include every dated event contained within the SAR, together with cross-references to emails, witness statements, photographs, repair records and the Master Chronology.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