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LIMITATION TIMELINE</w:t>
      </w:r>
    </w:p>
    <w:p>
      <w:pPr>
        <w:pStyle w:val="Heading2"/>
      </w:pPr>
      <w:r>
        <w:t>Version 2.1 – SAR Complaint Progression</w:t>
      </w:r>
    </w:p>
    <w:p>
      <w:r>
        <w:t>This section expands the Master Limitation Timeline using Haven's Subject Access Request records. It records the progression of the complaint after it was formally opened and demonstrates the continuing nature of the dispute.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Date</w:t>
            </w:r>
          </w:p>
        </w:tc>
        <w:tc>
          <w:tcPr>
            <w:tcW w:type="dxa" w:w="2160"/>
          </w:tcPr>
          <w:p>
            <w:r>
              <w:t>Event</w:t>
            </w:r>
          </w:p>
        </w:tc>
        <w:tc>
          <w:tcPr>
            <w:tcW w:type="dxa" w:w="2160"/>
          </w:tcPr>
          <w:p>
            <w:r>
              <w:t>SAR Record</w:t>
            </w:r>
          </w:p>
        </w:tc>
        <w:tc>
          <w:tcPr>
            <w:tcW w:type="dxa" w:w="2160"/>
          </w:tcPr>
          <w:p>
            <w:r>
              <w:t>Importance</w:t>
            </w:r>
          </w:p>
        </w:tc>
      </w:tr>
      <w:tr>
        <w:tc>
          <w:tcPr>
            <w:tcW w:type="dxa" w:w="2160"/>
          </w:tcPr>
          <w:p>
            <w:r>
              <w:t>30/07/2018</w:t>
            </w:r>
          </w:p>
        </w:tc>
        <w:tc>
          <w:tcPr>
            <w:tcW w:type="dxa" w:w="2160"/>
          </w:tcPr>
          <w:p>
            <w:r>
              <w:t>Complaint logged</w:t>
            </w:r>
          </w:p>
        </w:tc>
        <w:tc>
          <w:tcPr>
            <w:tcW w:type="dxa" w:w="2160"/>
          </w:tcPr>
          <w:p>
            <w:r>
              <w:t>Complaint ID 5454 created</w:t>
            </w:r>
          </w:p>
        </w:tc>
        <w:tc>
          <w:tcPr>
            <w:tcW w:type="dxa" w:w="2160"/>
          </w:tcPr>
          <w:p>
            <w:r>
              <w:t>Start of formal complaints</w:t>
            </w:r>
          </w:p>
        </w:tc>
      </w:tr>
      <w:tr>
        <w:tc>
          <w:tcPr>
            <w:tcW w:type="dxa" w:w="2160"/>
          </w:tcPr>
          <w:p>
            <w:r>
              <w:t>30/07/2018</w:t>
            </w:r>
          </w:p>
        </w:tc>
        <w:tc>
          <w:tcPr>
            <w:tcW w:type="dxa" w:w="2160"/>
          </w:tcPr>
          <w:p>
            <w:r>
              <w:t>Complaint allocated</w:t>
            </w:r>
          </w:p>
        </w:tc>
        <w:tc>
          <w:tcPr>
            <w:tcW w:type="dxa" w:w="2160"/>
          </w:tcPr>
          <w:p>
            <w:r>
              <w:t>Allocated to Gillian Churchyard</w:t>
            </w:r>
          </w:p>
        </w:tc>
        <w:tc>
          <w:tcPr>
            <w:tcW w:type="dxa" w:w="2160"/>
          </w:tcPr>
          <w:p>
            <w:r>
              <w:t>Haven accepted complaint</w:t>
            </w:r>
          </w:p>
        </w:tc>
      </w:tr>
      <w:tr>
        <w:tc>
          <w:tcPr>
            <w:tcW w:type="dxa" w:w="2160"/>
          </w:tcPr>
          <w:p>
            <w:r>
              <w:t>31/07/2018</w:t>
            </w:r>
          </w:p>
        </w:tc>
        <w:tc>
          <w:tcPr>
            <w:tcW w:type="dxa" w:w="2160"/>
          </w:tcPr>
          <w:p>
            <w:r>
              <w:t>Documents received</w:t>
            </w:r>
          </w:p>
        </w:tc>
        <w:tc>
          <w:tcPr>
            <w:tcW w:type="dxa" w:w="2160"/>
          </w:tcPr>
          <w:p>
            <w:r>
              <w:t>Evidence uploaded</w:t>
            </w:r>
          </w:p>
        </w:tc>
        <w:tc>
          <w:tcPr>
            <w:tcW w:type="dxa" w:w="2160"/>
          </w:tcPr>
          <w:p>
            <w:r>
              <w:t>Complaint remained active</w:t>
            </w:r>
          </w:p>
        </w:tc>
      </w:tr>
      <w:tr>
        <w:tc>
          <w:tcPr>
            <w:tcW w:type="dxa" w:w="2160"/>
          </w:tcPr>
          <w:p>
            <w:r>
              <w:t>03/08/2018</w:t>
            </w:r>
          </w:p>
        </w:tc>
        <w:tc>
          <w:tcPr>
            <w:tcW w:type="dxa" w:w="2160"/>
          </w:tcPr>
          <w:p>
            <w:r>
              <w:t>Further documents received</w:t>
            </w:r>
          </w:p>
        </w:tc>
        <w:tc>
          <w:tcPr>
            <w:tcW w:type="dxa" w:w="2160"/>
          </w:tcPr>
          <w:p>
            <w:r>
              <w:t>SAR complaint log</w:t>
            </w:r>
          </w:p>
        </w:tc>
        <w:tc>
          <w:tcPr>
            <w:tcW w:type="dxa" w:w="2160"/>
          </w:tcPr>
          <w:p>
            <w:r>
              <w:t>Ongoing investigation</w:t>
            </w:r>
          </w:p>
        </w:tc>
      </w:tr>
      <w:tr>
        <w:tc>
          <w:tcPr>
            <w:tcW w:type="dxa" w:w="2160"/>
          </w:tcPr>
          <w:p>
            <w:r>
              <w:t>08/08/2018</w:t>
            </w:r>
          </w:p>
        </w:tc>
        <w:tc>
          <w:tcPr>
            <w:tcW w:type="dxa" w:w="2160"/>
          </w:tcPr>
          <w:p>
            <w:r>
              <w:t>Action with complainant</w:t>
            </w:r>
          </w:p>
        </w:tc>
        <w:tc>
          <w:tcPr>
            <w:tcW w:type="dxa" w:w="2160"/>
          </w:tcPr>
          <w:p>
            <w:r>
              <w:t>Acknowledgement issued</w:t>
            </w:r>
          </w:p>
        </w:tc>
        <w:tc>
          <w:tcPr>
            <w:tcW w:type="dxa" w:w="2160"/>
          </w:tcPr>
          <w:p>
            <w:r>
              <w:t>Complaint progressing</w:t>
            </w:r>
          </w:p>
        </w:tc>
      </w:tr>
      <w:tr>
        <w:tc>
          <w:tcPr>
            <w:tcW w:type="dxa" w:w="2160"/>
          </w:tcPr>
          <w:p>
            <w:r>
              <w:t>01/11/2019</w:t>
            </w:r>
          </w:p>
        </w:tc>
        <w:tc>
          <w:tcPr>
            <w:tcW w:type="dxa" w:w="2160"/>
          </w:tcPr>
          <w:p>
            <w:r>
              <w:t>Complaint re-opened</w:t>
            </w:r>
          </w:p>
        </w:tc>
        <w:tc>
          <w:tcPr>
            <w:tcW w:type="dxa" w:w="2160"/>
          </w:tcPr>
          <w:p>
            <w:r>
              <w:t>Further evidence recorded</w:t>
            </w:r>
          </w:p>
        </w:tc>
        <w:tc>
          <w:tcPr>
            <w:tcW w:type="dxa" w:w="2160"/>
          </w:tcPr>
          <w:p>
            <w:r>
              <w:t>Dispute remained unresolved</w:t>
            </w:r>
          </w:p>
        </w:tc>
      </w:tr>
      <w:tr>
        <w:tc>
          <w:tcPr>
            <w:tcW w:type="dxa" w:w="2160"/>
          </w:tcPr>
          <w:p>
            <w:r>
              <w:t>12/11/2019</w:t>
            </w:r>
          </w:p>
        </w:tc>
        <w:tc>
          <w:tcPr>
            <w:tcW w:type="dxa" w:w="2160"/>
          </w:tcPr>
          <w:p>
            <w:r>
              <w:t>Complaint closed</w:t>
            </w:r>
          </w:p>
        </w:tc>
        <w:tc>
          <w:tcPr>
            <w:tcW w:type="dxa" w:w="2160"/>
          </w:tcPr>
          <w:p>
            <w:r>
              <w:t>Marked resolved by Haven</w:t>
            </w:r>
          </w:p>
        </w:tc>
        <w:tc>
          <w:tcPr>
            <w:tcW w:type="dxa" w:w="2160"/>
          </w:tcPr>
          <w:p>
            <w:r>
              <w:t>End of internal complaint process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