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LIMITATION TIMELINE</w:t>
      </w:r>
    </w:p>
    <w:p>
      <w:pPr>
        <w:pStyle w:val="Heading2"/>
      </w:pPr>
      <w:r>
        <w:t>Version 2.2 – SAR Correspondence &amp; Continuing Engagement</w:t>
      </w:r>
    </w:p>
    <w:p>
      <w:r>
        <w:t>This section records the continuing correspondence and engagement between the parties following the opening of the complaint. It demonstrates that the dispute remained active over an extended period rather than ending after the initial complaint.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Event</w:t>
            </w:r>
          </w:p>
        </w:tc>
        <w:tc>
          <w:tcPr>
            <w:tcW w:type="dxa" w:w="2160"/>
          </w:tcPr>
          <w:p>
            <w:r>
              <w:t>Evidence Source</w:t>
            </w:r>
          </w:p>
        </w:tc>
        <w:tc>
          <w:tcPr>
            <w:tcW w:type="dxa" w:w="2160"/>
          </w:tcPr>
          <w:p>
            <w:r>
              <w:t>Comments</w:t>
            </w:r>
          </w:p>
        </w:tc>
      </w:tr>
      <w:tr>
        <w:tc>
          <w:tcPr>
            <w:tcW w:type="dxa" w:w="2160"/>
          </w:tcPr>
          <w:p>
            <w:r>
              <w:t>August 2018</w:t>
            </w:r>
          </w:p>
        </w:tc>
        <w:tc>
          <w:tcPr>
            <w:tcW w:type="dxa" w:w="2160"/>
          </w:tcPr>
          <w:p>
            <w:r>
              <w:t>Further complaint correspondence</w:t>
            </w:r>
          </w:p>
        </w:tc>
        <w:tc>
          <w:tcPr>
            <w:tcW w:type="dxa" w:w="2160"/>
          </w:tcPr>
          <w:p>
            <w:r>
              <w:t>SAR / Emails</w:t>
            </w:r>
          </w:p>
        </w:tc>
        <w:tc>
          <w:tcPr>
            <w:tcW w:type="dxa" w:w="2160"/>
          </w:tcPr>
          <w:p>
            <w:r>
              <w:t>Ongoing dialogue</w:t>
            </w:r>
          </w:p>
        </w:tc>
      </w:tr>
      <w:tr>
        <w:tc>
          <w:tcPr>
            <w:tcW w:type="dxa" w:w="2160"/>
          </w:tcPr>
          <w:p>
            <w:r>
              <w:t>2018–2019</w:t>
            </w:r>
          </w:p>
        </w:tc>
        <w:tc>
          <w:tcPr>
            <w:tcW w:type="dxa" w:w="2160"/>
          </w:tcPr>
          <w:p>
            <w:r>
              <w:t>Repair discussions and updates</w:t>
            </w:r>
          </w:p>
        </w:tc>
        <w:tc>
          <w:tcPr>
            <w:tcW w:type="dxa" w:w="2160"/>
          </w:tcPr>
          <w:p>
            <w:r>
              <w:t>SAR / Repair records</w:t>
            </w:r>
          </w:p>
        </w:tc>
        <w:tc>
          <w:tcPr>
            <w:tcW w:type="dxa" w:w="2160"/>
          </w:tcPr>
          <w:p>
            <w:r>
              <w:t>Issues remained unresolved</w:t>
            </w:r>
          </w:p>
        </w:tc>
      </w:tr>
      <w:tr>
        <w:tc>
          <w:tcPr>
            <w:tcW w:type="dxa" w:w="2160"/>
          </w:tcPr>
          <w:p>
            <w:r>
              <w:t>2018–2019</w:t>
            </w:r>
          </w:p>
        </w:tc>
        <w:tc>
          <w:tcPr>
            <w:tcW w:type="dxa" w:w="2160"/>
          </w:tcPr>
          <w:p>
            <w:r>
              <w:t>Additional documents exchanged</w:t>
            </w:r>
          </w:p>
        </w:tc>
        <w:tc>
          <w:tcPr>
            <w:tcW w:type="dxa" w:w="2160"/>
          </w:tcPr>
          <w:p>
            <w:r>
              <w:t>SAR</w:t>
            </w:r>
          </w:p>
        </w:tc>
        <w:tc>
          <w:tcPr>
            <w:tcW w:type="dxa" w:w="2160"/>
          </w:tcPr>
          <w:p>
            <w:r>
              <w:t>Evidence continued to accumulate</w:t>
            </w:r>
          </w:p>
        </w:tc>
      </w:tr>
      <w:tr>
        <w:tc>
          <w:tcPr>
            <w:tcW w:type="dxa" w:w="2160"/>
          </w:tcPr>
          <w:p>
            <w:r>
              <w:t>2019</w:t>
            </w:r>
          </w:p>
        </w:tc>
        <w:tc>
          <w:tcPr>
            <w:tcW w:type="dxa" w:w="2160"/>
          </w:tcPr>
          <w:p>
            <w:r>
              <w:t>Senior management involvement</w:t>
            </w:r>
          </w:p>
        </w:tc>
        <w:tc>
          <w:tcPr>
            <w:tcW w:type="dxa" w:w="2160"/>
          </w:tcPr>
          <w:p>
            <w:r>
              <w:t>SAR / Correspondence</w:t>
            </w:r>
          </w:p>
        </w:tc>
        <w:tc>
          <w:tcPr>
            <w:tcW w:type="dxa" w:w="2160"/>
          </w:tcPr>
          <w:p>
            <w:r>
              <w:t>Complaint escalated</w:t>
            </w:r>
          </w:p>
        </w:tc>
      </w:tr>
      <w:tr>
        <w:tc>
          <w:tcPr>
            <w:tcW w:type="dxa" w:w="2160"/>
          </w:tcPr>
          <w:p>
            <w:r>
              <w:t>01/11/2019</w:t>
            </w:r>
          </w:p>
        </w:tc>
        <w:tc>
          <w:tcPr>
            <w:tcW w:type="dxa" w:w="2160"/>
          </w:tcPr>
          <w:p>
            <w:r>
              <w:t>Complaint reviewed again</w:t>
            </w:r>
          </w:p>
        </w:tc>
        <w:tc>
          <w:tcPr>
            <w:tcW w:type="dxa" w:w="2160"/>
          </w:tcPr>
          <w:p>
            <w:r>
              <w:t>SAR</w:t>
            </w:r>
          </w:p>
        </w:tc>
        <w:tc>
          <w:tcPr>
            <w:tcW w:type="dxa" w:w="2160"/>
          </w:tcPr>
          <w:p>
            <w:r>
              <w:t>Matter still active</w:t>
            </w:r>
          </w:p>
        </w:tc>
      </w:tr>
      <w:tr>
        <w:tc>
          <w:tcPr>
            <w:tcW w:type="dxa" w:w="2160"/>
          </w:tcPr>
          <w:p>
            <w:r>
              <w:t>12/11/2019</w:t>
            </w:r>
          </w:p>
        </w:tc>
        <w:tc>
          <w:tcPr>
            <w:tcW w:type="dxa" w:w="2160"/>
          </w:tcPr>
          <w:p>
            <w:r>
              <w:t>Internal complaint closed</w:t>
            </w:r>
          </w:p>
        </w:tc>
        <w:tc>
          <w:tcPr>
            <w:tcW w:type="dxa" w:w="2160"/>
          </w:tcPr>
          <w:p>
            <w:r>
              <w:t>SAR</w:t>
            </w:r>
          </w:p>
        </w:tc>
        <w:tc>
          <w:tcPr>
            <w:tcW w:type="dxa" w:w="2160"/>
          </w:tcPr>
          <w:p>
            <w:r>
              <w:t>Haven's internal process concluded</w:t>
            </w:r>
          </w:p>
        </w:tc>
      </w:tr>
    </w:tbl>
    <w:p>
      <w:pPr>
        <w:pStyle w:val="Heading2"/>
      </w:pPr>
      <w:r>
        <w:t>Purpose</w:t>
      </w:r>
    </w:p>
    <w:p>
      <w:r>
        <w:t>This document forms part of the Master Limitation Timeline and should be read alongside the Master Chronology, Witness Statement, SAR disclosure and supporting exhibits.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