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LIMITATION TIMELINE</w:t>
      </w:r>
    </w:p>
    <w:p>
      <w:pPr>
        <w:pStyle w:val="Heading2"/>
      </w:pPr>
      <w:r>
        <w:t>Version 2.3 – Subject Access Request and Disclosure Delay</w:t>
      </w:r>
    </w:p>
    <w:p>
      <w:r>
        <w:t>This section records the chronology relating to the Subject Access Request (SAR) and the subsequent disclosure of documents. It is intended to demonstrate the continuing progression of the dispute and the time taken before relevant records became available for review.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Event</w:t>
            </w:r>
          </w:p>
        </w:tc>
        <w:tc>
          <w:tcPr>
            <w:tcW w:type="dxa" w:w="2160"/>
          </w:tcPr>
          <w:p>
            <w:r>
              <w:t>Evidence Source</w:t>
            </w:r>
          </w:p>
        </w:tc>
        <w:tc>
          <w:tcPr>
            <w:tcW w:type="dxa" w:w="2160"/>
          </w:tcPr>
          <w:p>
            <w:r>
              <w:t>Comments</w:t>
            </w:r>
          </w:p>
        </w:tc>
      </w:tr>
      <w:tr>
        <w:tc>
          <w:tcPr>
            <w:tcW w:type="dxa" w:w="2160"/>
          </w:tcPr>
          <w:p>
            <w:r>
              <w:t>03/06/2025</w:t>
            </w:r>
          </w:p>
        </w:tc>
        <w:tc>
          <w:tcPr>
            <w:tcW w:type="dxa" w:w="2160"/>
          </w:tcPr>
          <w:p>
            <w:r>
              <w:t>Subject Access Request submitted</w:t>
            </w:r>
          </w:p>
        </w:tc>
        <w:tc>
          <w:tcPr>
            <w:tcW w:type="dxa" w:w="2160"/>
          </w:tcPr>
          <w:p>
            <w:r>
              <w:t>SAR correspondence</w:t>
            </w:r>
          </w:p>
        </w:tc>
        <w:tc>
          <w:tcPr>
            <w:tcW w:type="dxa" w:w="2160"/>
          </w:tcPr>
          <w:p>
            <w:r>
              <w:t>Request for all personal data</w:t>
            </w:r>
          </w:p>
        </w:tc>
      </w:tr>
      <w:tr>
        <w:tc>
          <w:tcPr>
            <w:tcW w:type="dxa" w:w="2160"/>
          </w:tcPr>
          <w:p>
            <w:r>
              <w:t>2025</w:t>
            </w:r>
          </w:p>
        </w:tc>
        <w:tc>
          <w:tcPr>
            <w:tcW w:type="dxa" w:w="2160"/>
          </w:tcPr>
          <w:p>
            <w:r>
              <w:t>Acknowledgement received</w:t>
            </w:r>
          </w:p>
        </w:tc>
        <w:tc>
          <w:tcPr>
            <w:tcW w:type="dxa" w:w="2160"/>
          </w:tcPr>
          <w:p>
            <w:r>
              <w:t>SAR correspondence</w:t>
            </w:r>
          </w:p>
        </w:tc>
        <w:tc>
          <w:tcPr>
            <w:tcW w:type="dxa" w:w="2160"/>
          </w:tcPr>
          <w:p>
            <w:r>
              <w:t>Processing commenced</w:t>
            </w:r>
          </w:p>
        </w:tc>
      </w:tr>
      <w:tr>
        <w:tc>
          <w:tcPr>
            <w:tcW w:type="dxa" w:w="2160"/>
          </w:tcPr>
          <w:p>
            <w:r>
              <w:t>2025–2026</w:t>
            </w:r>
          </w:p>
        </w:tc>
        <w:tc>
          <w:tcPr>
            <w:tcW w:type="dxa" w:w="2160"/>
          </w:tcPr>
          <w:p>
            <w:r>
              <w:t>Further communications regarding SAR</w:t>
            </w:r>
          </w:p>
        </w:tc>
        <w:tc>
          <w:tcPr>
            <w:tcW w:type="dxa" w:w="2160"/>
          </w:tcPr>
          <w:p>
            <w:r>
              <w:t>Emails / SAR</w:t>
            </w:r>
          </w:p>
        </w:tc>
        <w:tc>
          <w:tcPr>
            <w:tcW w:type="dxa" w:w="2160"/>
          </w:tcPr>
          <w:p>
            <w:r>
              <w:t>Follow-up requests</w:t>
            </w:r>
          </w:p>
        </w:tc>
      </w:tr>
      <w:tr>
        <w:tc>
          <w:tcPr>
            <w:tcW w:type="dxa" w:w="2160"/>
          </w:tcPr>
          <w:p>
            <w:r>
              <w:t>17/01/2026</w:t>
            </w:r>
          </w:p>
        </w:tc>
        <w:tc>
          <w:tcPr>
            <w:tcW w:type="dxa" w:w="2160"/>
          </w:tcPr>
          <w:p>
            <w:r>
              <w:t>SAR disclosure received</w:t>
            </w:r>
          </w:p>
        </w:tc>
        <w:tc>
          <w:tcPr>
            <w:tcW w:type="dxa" w:w="2160"/>
          </w:tcPr>
          <w:p>
            <w:r>
              <w:t>SAR disclosure</w:t>
            </w:r>
          </w:p>
        </w:tc>
        <w:tc>
          <w:tcPr>
            <w:tcW w:type="dxa" w:w="2160"/>
          </w:tcPr>
          <w:p>
            <w:r>
              <w:t>Records supplied for review</w:t>
            </w:r>
          </w:p>
        </w:tc>
      </w:tr>
      <w:tr>
        <w:tc>
          <w:tcPr>
            <w:tcW w:type="dxa" w:w="2160"/>
          </w:tcPr>
          <w:p>
            <w:r>
              <w:t>2026</w:t>
            </w:r>
          </w:p>
        </w:tc>
        <w:tc>
          <w:tcPr>
            <w:tcW w:type="dxa" w:w="2160"/>
          </w:tcPr>
          <w:p>
            <w:r>
              <w:t>Review of SAR against personal records</w:t>
            </w:r>
          </w:p>
        </w:tc>
        <w:tc>
          <w:tcPr>
            <w:tcW w:type="dxa" w:w="2160"/>
          </w:tcPr>
          <w:p>
            <w:r>
              <w:t>Witness statement</w:t>
            </w:r>
          </w:p>
        </w:tc>
        <w:tc>
          <w:tcPr>
            <w:tcW w:type="dxa" w:w="2160"/>
          </w:tcPr>
          <w:p>
            <w:r>
              <w:t>Chronology and evidence reconciled</w:t>
            </w:r>
          </w:p>
        </w:tc>
      </w:tr>
      <w:tr>
        <w:tc>
          <w:tcPr>
            <w:tcW w:type="dxa" w:w="2160"/>
          </w:tcPr>
          <w:p>
            <w:r>
              <w:t>2026</w:t>
            </w:r>
          </w:p>
        </w:tc>
        <w:tc>
          <w:tcPr>
            <w:tcW w:type="dxa" w:w="2160"/>
          </w:tcPr>
          <w:p>
            <w:r>
              <w:t>Preparation of litigation bundle</w:t>
            </w:r>
          </w:p>
        </w:tc>
        <w:tc>
          <w:tcPr>
            <w:tcW w:type="dxa" w:w="2160"/>
          </w:tcPr>
          <w:p>
            <w:r>
              <w:t>Master Chronology</w:t>
            </w:r>
          </w:p>
        </w:tc>
        <w:tc>
          <w:tcPr>
            <w:tcW w:type="dxa" w:w="2160"/>
          </w:tcPr>
          <w:p>
            <w:r>
              <w:t>Evidence compiled for proceedings</w:t>
            </w:r>
          </w:p>
        </w:tc>
      </w:tr>
    </w:tbl>
    <w:p>
      <w:pPr>
        <w:pStyle w:val="Heading2"/>
      </w:pPr>
      <w:r>
        <w:t>Purpose</w:t>
      </w:r>
    </w:p>
    <w:p>
      <w:r>
        <w:t>This document should be read together with the Master Chronology, Witness Statement, SAR disclosure, correspondence register and exhibit index.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