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LIMITATION TIMELINE</w:t>
      </w:r>
    </w:p>
    <w:p>
      <w:pPr>
        <w:pStyle w:val="Heading2"/>
      </w:pPr>
      <w:r>
        <w:t>Version 2.4 – Legal Advice and Continued Attempts to Resolve</w:t>
      </w:r>
    </w:p>
    <w:p>
      <w:r>
        <w:t>This section records the period during which the dispute continued beyond Haven's internal complaints process. It demonstrates that efforts to resolve the matter continued before formal legal proceedings were contemplated.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Evidence Source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2020–2025</w:t>
            </w:r>
          </w:p>
        </w:tc>
        <w:tc>
          <w:tcPr>
            <w:tcW w:type="dxa" w:w="2160"/>
          </w:tcPr>
          <w:p>
            <w:r>
              <w:t>Dispute remained unresolved</w:t>
            </w:r>
          </w:p>
        </w:tc>
        <w:tc>
          <w:tcPr>
            <w:tcW w:type="dxa" w:w="2160"/>
          </w:tcPr>
          <w:p>
            <w:r>
              <w:t>Correspondence</w:t>
            </w:r>
          </w:p>
        </w:tc>
        <w:tc>
          <w:tcPr>
            <w:tcW w:type="dxa" w:w="2160"/>
          </w:tcPr>
          <w:p>
            <w:r>
              <w:t>Issues persisted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Further review of available evidence</w:t>
            </w:r>
          </w:p>
        </w:tc>
        <w:tc>
          <w:tcPr>
            <w:tcW w:type="dxa" w:w="2160"/>
          </w:tcPr>
          <w:p>
            <w:r>
              <w:t>Personal records</w:t>
            </w:r>
          </w:p>
        </w:tc>
        <w:tc>
          <w:tcPr>
            <w:tcW w:type="dxa" w:w="2160"/>
          </w:tcPr>
          <w:p>
            <w:r>
              <w:t>Preparation for legal advice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Legal representatives approached</w:t>
            </w:r>
          </w:p>
        </w:tc>
        <w:tc>
          <w:tcPr>
            <w:tcW w:type="dxa" w:w="2160"/>
          </w:tcPr>
          <w:p>
            <w:r>
              <w:t>Solicitor correspondence</w:t>
            </w:r>
          </w:p>
        </w:tc>
        <w:tc>
          <w:tcPr>
            <w:tcW w:type="dxa" w:w="2160"/>
          </w:tcPr>
          <w:p>
            <w:r>
              <w:t>Initial assessment sought</w:t>
            </w:r>
          </w:p>
        </w:tc>
      </w:tr>
      <w:tr>
        <w:tc>
          <w:tcPr>
            <w:tcW w:type="dxa" w:w="2160"/>
          </w:tcPr>
          <w:p>
            <w:r>
              <w:t>2025–2026</w:t>
            </w:r>
          </w:p>
        </w:tc>
        <w:tc>
          <w:tcPr>
            <w:tcW w:type="dxa" w:w="2160"/>
          </w:tcPr>
          <w:p>
            <w:r>
              <w:t>Evidence bundle expanded</w:t>
            </w:r>
          </w:p>
        </w:tc>
        <w:tc>
          <w:tcPr>
            <w:tcW w:type="dxa" w:w="2160"/>
          </w:tcPr>
          <w:p>
            <w:r>
              <w:t>Master Chronology</w:t>
            </w:r>
          </w:p>
        </w:tc>
        <w:tc>
          <w:tcPr>
            <w:tcW w:type="dxa" w:w="2160"/>
          </w:tcPr>
          <w:p>
            <w:r>
              <w:t>Supporting documents compiled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Formal litigation preparation commenced</w:t>
            </w:r>
          </w:p>
        </w:tc>
        <w:tc>
          <w:tcPr>
            <w:tcW w:type="dxa" w:w="2160"/>
          </w:tcPr>
          <w:p>
            <w:r>
              <w:t>Witness Statement</w:t>
            </w:r>
          </w:p>
        </w:tc>
        <w:tc>
          <w:tcPr>
            <w:tcW w:type="dxa" w:w="2160"/>
          </w:tcPr>
          <w:p>
            <w:r>
              <w:t>Court bundle assembled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Proceedings considered</w:t>
            </w:r>
          </w:p>
        </w:tc>
        <w:tc>
          <w:tcPr>
            <w:tcW w:type="dxa" w:w="2160"/>
          </w:tcPr>
          <w:p>
            <w:r>
              <w:t>Legal file</w:t>
            </w:r>
          </w:p>
        </w:tc>
        <w:tc>
          <w:tcPr>
            <w:tcW w:type="dxa" w:w="2160"/>
          </w:tcPr>
          <w:p>
            <w:r>
              <w:t>Final pre-action stage</w:t>
            </w:r>
          </w:p>
        </w:tc>
      </w:tr>
    </w:tbl>
    <w:p>
      <w:pPr>
        <w:pStyle w:val="Heading2"/>
      </w:pPr>
      <w:r>
        <w:t>Purpose</w:t>
      </w:r>
    </w:p>
    <w:p>
      <w:r>
        <w:t>This document forms part of the Master Limitation Timeline and should be read alongside the SAR chronology, Master Chronology, Witness Statement and Schedule of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