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LIMITATION TIMELINE</w:t>
      </w:r>
    </w:p>
    <w:p>
      <w:pPr>
        <w:pStyle w:val="Heading2"/>
      </w:pPr>
      <w:r>
        <w:t>Version 2.5 – Continuing Losses and Ongoing Consequences</w:t>
      </w:r>
    </w:p>
    <w:p>
      <w:r>
        <w:t>This section records the continuing consequences of the dispute after Haven's internal processes concluded. It demonstrates that the effects of the matters complained of continued long after the original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Continuing Event</w:t>
            </w:r>
          </w:p>
        </w:tc>
        <w:tc>
          <w:tcPr>
            <w:tcW w:type="dxa" w:w="2160"/>
          </w:tcPr>
          <w:p>
            <w:r>
              <w:t>Supporting Evidence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2019 onwards</w:t>
            </w:r>
          </w:p>
        </w:tc>
        <w:tc>
          <w:tcPr>
            <w:tcW w:type="dxa" w:w="2160"/>
          </w:tcPr>
          <w:p>
            <w:r>
              <w:t>Continuing financial losses</w:t>
            </w:r>
          </w:p>
        </w:tc>
        <w:tc>
          <w:tcPr>
            <w:tcW w:type="dxa" w:w="2160"/>
          </w:tcPr>
          <w:p>
            <w:r>
              <w:t>Schedule of Loss</w:t>
            </w:r>
          </w:p>
        </w:tc>
        <w:tc>
          <w:tcPr>
            <w:tcW w:type="dxa" w:w="2160"/>
          </w:tcPr>
          <w:p>
            <w:r>
              <w:t>Losses continued to accrue</w:t>
            </w:r>
          </w:p>
        </w:tc>
      </w:tr>
      <w:tr>
        <w:tc>
          <w:tcPr>
            <w:tcW w:type="dxa" w:w="2160"/>
          </w:tcPr>
          <w:p>
            <w:r>
              <w:t>2019 onwards</w:t>
            </w:r>
          </w:p>
        </w:tc>
        <w:tc>
          <w:tcPr>
            <w:tcW w:type="dxa" w:w="2160"/>
          </w:tcPr>
          <w:p>
            <w:r>
              <w:t>Continuing correspondence</w:t>
            </w:r>
          </w:p>
        </w:tc>
        <w:tc>
          <w:tcPr>
            <w:tcW w:type="dxa" w:w="2160"/>
          </w:tcPr>
          <w:p>
            <w:r>
              <w:t>Email bundle</w:t>
            </w:r>
          </w:p>
        </w:tc>
        <w:tc>
          <w:tcPr>
            <w:tcW w:type="dxa" w:w="2160"/>
          </w:tcPr>
          <w:p>
            <w:r>
              <w:t>Attempts to resolve dispute</w:t>
            </w:r>
          </w:p>
        </w:tc>
      </w:tr>
      <w:tr>
        <w:tc>
          <w:tcPr>
            <w:tcW w:type="dxa" w:w="2160"/>
          </w:tcPr>
          <w:p>
            <w:r>
              <w:t>2019 onwards</w:t>
            </w:r>
          </w:p>
        </w:tc>
        <w:tc>
          <w:tcPr>
            <w:tcW w:type="dxa" w:w="2160"/>
          </w:tcPr>
          <w:p>
            <w:r>
              <w:t>Family impact</w:t>
            </w:r>
          </w:p>
        </w:tc>
        <w:tc>
          <w:tcPr>
            <w:tcW w:type="dxa" w:w="2160"/>
          </w:tcPr>
          <w:p>
            <w:r>
              <w:t>Witness Statement</w:t>
            </w:r>
          </w:p>
        </w:tc>
        <w:tc>
          <w:tcPr>
            <w:tcW w:type="dxa" w:w="2160"/>
          </w:tcPr>
          <w:p>
            <w:r>
              <w:t>Ongoing consequences</w:t>
            </w:r>
          </w:p>
        </w:tc>
      </w:tr>
      <w:tr>
        <w:tc>
          <w:tcPr>
            <w:tcW w:type="dxa" w:w="2160"/>
          </w:tcPr>
          <w:p>
            <w:r>
              <w:t>2019 onwards</w:t>
            </w:r>
          </w:p>
        </w:tc>
        <w:tc>
          <w:tcPr>
            <w:tcW w:type="dxa" w:w="2160"/>
          </w:tcPr>
          <w:p>
            <w:r>
              <w:t>Health and wellbeing affected</w:t>
            </w:r>
          </w:p>
        </w:tc>
        <w:tc>
          <w:tcPr>
            <w:tcW w:type="dxa" w:w="2160"/>
          </w:tcPr>
          <w:p>
            <w:r>
              <w:t>Witness Statement / Medical records</w:t>
            </w:r>
          </w:p>
        </w:tc>
        <w:tc>
          <w:tcPr>
            <w:tcW w:type="dxa" w:w="2160"/>
          </w:tcPr>
          <w:p>
            <w:r>
              <w:t>Continuing stress</w:t>
            </w:r>
          </w:p>
        </w:tc>
      </w:tr>
      <w:tr>
        <w:tc>
          <w:tcPr>
            <w:tcW w:type="dxa" w:w="2160"/>
          </w:tcPr>
          <w:p>
            <w:r>
              <w:t>2025–2026</w:t>
            </w:r>
          </w:p>
        </w:tc>
        <w:tc>
          <w:tcPr>
            <w:tcW w:type="dxa" w:w="2160"/>
          </w:tcPr>
          <w:p>
            <w:r>
              <w:t>Preparation of evidence bundle</w:t>
            </w:r>
          </w:p>
        </w:tc>
        <w:tc>
          <w:tcPr>
            <w:tcW w:type="dxa" w:w="2160"/>
          </w:tcPr>
          <w:p>
            <w:r>
              <w:t>Master Bundle</w:t>
            </w:r>
          </w:p>
        </w:tc>
        <w:tc>
          <w:tcPr>
            <w:tcW w:type="dxa" w:w="2160"/>
          </w:tcPr>
          <w:p>
            <w:r>
              <w:t>Documents consolidated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Claim preparation</w:t>
            </w:r>
          </w:p>
        </w:tc>
        <w:tc>
          <w:tcPr>
            <w:tcW w:type="dxa" w:w="2160"/>
          </w:tcPr>
          <w:p>
            <w:r>
              <w:t>Trial Preparation folder</w:t>
            </w:r>
          </w:p>
        </w:tc>
        <w:tc>
          <w:tcPr>
            <w:tcW w:type="dxa" w:w="2160"/>
          </w:tcPr>
          <w:p>
            <w:r>
              <w:t>Litigation commenced</w:t>
            </w:r>
          </w:p>
        </w:tc>
      </w:tr>
    </w:tbl>
    <w:p>
      <w:pPr>
        <w:pStyle w:val="Heading2"/>
      </w:pPr>
      <w:r>
        <w:t>Purpose</w:t>
      </w:r>
    </w:p>
    <w:p>
      <w:r>
        <w:t>This document forms part of the Master Limitation Timeline and should be read with the Witness Statement, Master Chronology, Schedule of Loss, Subject Access Request disclosure and all supporting exhibits.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