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LIMITATION TIMELINE</w:t>
      </w:r>
    </w:p>
    <w:p>
      <w:pPr>
        <w:pStyle w:val="Heading2"/>
      </w:pPr>
      <w:r>
        <w:t>Version 2.6 – Complete Chronology Index</w:t>
      </w:r>
    </w:p>
    <w:p>
      <w:r>
        <w:t>This document acts as the index to the complete Master Limitation Timeline. It identifies each chronology section that will ultimately be combined into a single master document for use by legal representatives and the Court.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V2.0</w:t>
            </w:r>
          </w:p>
        </w:tc>
        <w:tc>
          <w:tcPr>
            <w:tcW w:type="dxa" w:w="2880"/>
          </w:tcPr>
          <w:p>
            <w:r>
              <w:t>Original Purchase &amp; Upgrade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V2.1</w:t>
            </w:r>
          </w:p>
        </w:tc>
        <w:tc>
          <w:tcPr>
            <w:tcW w:type="dxa" w:w="2880"/>
          </w:tcPr>
          <w:p>
            <w:r>
              <w:t>SAR Complaint Progression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V2.2</w:t>
            </w:r>
          </w:p>
        </w:tc>
        <w:tc>
          <w:tcPr>
            <w:tcW w:type="dxa" w:w="2880"/>
          </w:tcPr>
          <w:p>
            <w:r>
              <w:t>SAR Correspondence &amp; Continuing Engagement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V2.3</w:t>
            </w:r>
          </w:p>
        </w:tc>
        <w:tc>
          <w:tcPr>
            <w:tcW w:type="dxa" w:w="2880"/>
          </w:tcPr>
          <w:p>
            <w:r>
              <w:t>Subject Access Request &amp; Disclosure Delay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V2.4</w:t>
            </w:r>
          </w:p>
        </w:tc>
        <w:tc>
          <w:tcPr>
            <w:tcW w:type="dxa" w:w="2880"/>
          </w:tcPr>
          <w:p>
            <w:r>
              <w:t>Legal Advice &amp; Resolution Efforts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V2.5</w:t>
            </w:r>
          </w:p>
        </w:tc>
        <w:tc>
          <w:tcPr>
            <w:tcW w:type="dxa" w:w="2880"/>
          </w:tcPr>
          <w:p>
            <w:r>
              <w:t>Continuing Losses &amp; Ongoing Consequences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Final</w:t>
            </w:r>
          </w:p>
        </w:tc>
        <w:tc>
          <w:tcPr>
            <w:tcW w:type="dxa" w:w="2880"/>
          </w:tcPr>
          <w:p>
            <w:r>
              <w:t>Merged Master Limitation Timeline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>
      <w:pPr>
        <w:pStyle w:val="Heading2"/>
      </w:pPr>
      <w:r>
        <w:t>Purpose</w:t>
      </w:r>
    </w:p>
    <w:p>
      <w:r>
        <w:t>Once all chronology sections have been verified against the Subject Access Request, emails and supporting documents, they will be merged into a single Master Limitation Timeline with exhibit references for the litigation bundle.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