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VAUGHAN v HAVEN HOLIDAYS LTD</w:t>
      </w:r>
    </w:p>
    <w:p>
      <w:pPr>
        <w:pStyle w:val="Heading2"/>
      </w:pPr>
      <w:r>
        <w:t>Volume 3.11A – Chronology Schedule</w:t>
      </w:r>
    </w:p>
    <w:p>
      <w:r>
        <w:t>Master Trial Bundle</w:t>
        <w:br/>
        <w:t>Version 1.0</w:t>
      </w:r>
    </w:p>
    <w:p>
      <w:pPr>
        <w:pStyle w:val="Heading2"/>
      </w:pPr>
      <w:r>
        <w:t>Purpose</w:t>
      </w:r>
    </w:p>
    <w:p>
      <w:r>
        <w:t>This chronology schedule provides a concise timeline of the principal events in the dispute. It should be read alongside the Master Chronology and supporting documentary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Date / Period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Supporting Evidence</w:t>
            </w:r>
          </w:p>
        </w:tc>
      </w:tr>
      <w:tr>
        <w:tc>
          <w:tcPr>
            <w:tcW w:type="dxa" w:w="2160"/>
          </w:tcPr>
          <w:p>
            <w:r>
              <w:t>CH-001</w:t>
            </w:r>
          </w:p>
        </w:tc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Original caravan purchased</w:t>
            </w:r>
          </w:p>
        </w:tc>
        <w:tc>
          <w:tcPr>
            <w:tcW w:type="dxa" w:w="2160"/>
          </w:tcPr>
          <w:p>
            <w:r>
              <w:t>Purchase Agreement / SAR</w:t>
            </w:r>
          </w:p>
        </w:tc>
      </w:tr>
      <w:tr>
        <w:tc>
          <w:tcPr>
            <w:tcW w:type="dxa" w:w="2160"/>
          </w:tcPr>
          <w:p>
            <w:r>
              <w:t>CH-002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Replacement caravan purchased following part exchange</w:t>
            </w:r>
          </w:p>
        </w:tc>
        <w:tc>
          <w:tcPr>
            <w:tcW w:type="dxa" w:w="2160"/>
          </w:tcPr>
          <w:p>
            <w:r>
              <w:t>Upgrade Agreement / SAR</w:t>
            </w:r>
          </w:p>
        </w:tc>
      </w:tr>
      <w:tr>
        <w:tc>
          <w:tcPr>
            <w:tcW w:type="dxa" w:w="2160"/>
          </w:tcPr>
          <w:p>
            <w:r>
              <w:t>CH-003</w:t>
            </w:r>
          </w:p>
        </w:tc>
        <w:tc>
          <w:tcPr>
            <w:tcW w:type="dxa" w:w="2160"/>
          </w:tcPr>
          <w:p>
            <w:r>
              <w:t>After handover</w:t>
            </w:r>
          </w:p>
        </w:tc>
        <w:tc>
          <w:tcPr>
            <w:tcW w:type="dxa" w:w="2160"/>
          </w:tcPr>
          <w:p>
            <w:r>
              <w:t>Significant snagging defects identified</w:t>
            </w:r>
          </w:p>
        </w:tc>
        <w:tc>
          <w:tcPr>
            <w:tcW w:type="dxa" w:w="2160"/>
          </w:tcPr>
          <w:p>
            <w:r>
              <w:t>Master Snagging Register</w:t>
            </w:r>
          </w:p>
        </w:tc>
      </w:tr>
      <w:tr>
        <w:tc>
          <w:tcPr>
            <w:tcW w:type="dxa" w:w="2160"/>
          </w:tcPr>
          <w:p>
            <w:r>
              <w:t>CH-004</w:t>
            </w:r>
          </w:p>
        </w:tc>
        <w:tc>
          <w:tcPr>
            <w:tcW w:type="dxa" w:w="2160"/>
          </w:tcPr>
          <w:p>
            <w:r>
              <w:t>Following complaints</w:t>
            </w:r>
          </w:p>
        </w:tc>
        <w:tc>
          <w:tcPr>
            <w:tcW w:type="dxa" w:w="2160"/>
          </w:tcPr>
          <w:p>
            <w:r>
              <w:t>Repairs undertaken but defects remained outstanding</w:t>
            </w:r>
          </w:p>
        </w:tc>
        <w:tc>
          <w:tcPr>
            <w:tcW w:type="dxa" w:w="2160"/>
          </w:tcPr>
          <w:p>
            <w:r>
              <w:t>Repair Records / SAR</w:t>
            </w:r>
          </w:p>
        </w:tc>
      </w:tr>
      <w:tr>
        <w:tc>
          <w:tcPr>
            <w:tcW w:type="dxa" w:w="2160"/>
          </w:tcPr>
          <w:p>
            <w:r>
              <w:t>CH-005</w:t>
            </w:r>
          </w:p>
        </w:tc>
        <w:tc>
          <w:tcPr>
            <w:tcW w:type="dxa" w:w="2160"/>
          </w:tcPr>
          <w:p>
            <w:r>
              <w:t>Complaint period</w:t>
            </w:r>
          </w:p>
        </w:tc>
        <w:tc>
          <w:tcPr>
            <w:tcW w:type="dxa" w:w="2160"/>
          </w:tcPr>
          <w:p>
            <w:r>
              <w:t>Complaint reference 5454 recorded</w:t>
            </w:r>
          </w:p>
        </w:tc>
        <w:tc>
          <w:tcPr>
            <w:tcW w:type="dxa" w:w="2160"/>
          </w:tcPr>
          <w:p>
            <w:r>
              <w:t>CRM / SAR</w:t>
            </w:r>
          </w:p>
        </w:tc>
      </w:tr>
      <w:tr>
        <w:tc>
          <w:tcPr>
            <w:tcW w:type="dxa" w:w="2160"/>
          </w:tcPr>
          <w:p>
            <w:r>
              <w:t>CH-006</w:t>
            </w:r>
          </w:p>
        </w:tc>
        <w:tc>
          <w:tcPr>
            <w:tcW w:type="dxa" w:w="2160"/>
          </w:tcPr>
          <w:p>
            <w:r>
              <w:t>Throughout ownership</w:t>
            </w:r>
          </w:p>
        </w:tc>
        <w:tc>
          <w:tcPr>
            <w:tcW w:type="dxa" w:w="2160"/>
          </w:tcPr>
          <w:p>
            <w:r>
              <w:t>Continuing correspondence with Haven</w:t>
            </w:r>
          </w:p>
        </w:tc>
        <w:tc>
          <w:tcPr>
            <w:tcW w:type="dxa" w:w="2160"/>
          </w:tcPr>
          <w:p>
            <w:r>
              <w:t>Correspondence Bundle</w:t>
            </w:r>
          </w:p>
        </w:tc>
      </w:tr>
      <w:tr>
        <w:tc>
          <w:tcPr>
            <w:tcW w:type="dxa" w:w="2160"/>
          </w:tcPr>
          <w:p>
            <w:r>
              <w:t>CH-007</w:t>
            </w:r>
          </w:p>
        </w:tc>
        <w:tc>
          <w:tcPr>
            <w:tcW w:type="dxa" w:w="2160"/>
          </w:tcPr>
          <w:p>
            <w:r>
              <w:t>SAR disclosure</w:t>
            </w:r>
          </w:p>
        </w:tc>
        <w:tc>
          <w:tcPr>
            <w:tcW w:type="dxa" w:w="2160"/>
          </w:tcPr>
          <w:p>
            <w:r>
              <w:t>Subject Access Request received</w:t>
            </w:r>
          </w:p>
        </w:tc>
        <w:tc>
          <w:tcPr>
            <w:tcW w:type="dxa" w:w="2160"/>
          </w:tcPr>
          <w:p>
            <w:r>
              <w:t>SAR</w:t>
            </w:r>
          </w:p>
        </w:tc>
      </w:tr>
      <w:tr>
        <w:tc>
          <w:tcPr>
            <w:tcW w:type="dxa" w:w="2160"/>
          </w:tcPr>
          <w:p>
            <w:r>
              <w:t>CH-008</w:t>
            </w:r>
          </w:p>
        </w:tc>
        <w:tc>
          <w:tcPr>
            <w:tcW w:type="dxa" w:w="2160"/>
          </w:tcPr>
          <w:p>
            <w:r>
              <w:t>Current proceedings</w:t>
            </w:r>
          </w:p>
        </w:tc>
        <w:tc>
          <w:tcPr>
            <w:tcW w:type="dxa" w:w="2160"/>
          </w:tcPr>
          <w:p>
            <w:r>
              <w:t>Preparation of litigation bundle</w:t>
            </w:r>
          </w:p>
        </w:tc>
        <w:tc>
          <w:tcPr>
            <w:tcW w:type="dxa" w:w="2160"/>
          </w:tcPr>
          <w:p>
            <w:r>
              <w:t>Master Bundle</w:t>
            </w:r>
          </w:p>
        </w:tc>
      </w:tr>
    </w:tbl>
    <w:p>
      <w:pPr>
        <w:pStyle w:val="Heading2"/>
      </w:pPr>
      <w:r>
        <w:t>Chronology Notes</w:t>
      </w:r>
    </w:p>
    <w:p>
      <w:r>
        <w:t>This schedule provides a high-level chronology only. The detailed Master Chronology should be used for exact dates, communications and supporting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