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VAUGHAN v HAVEN HOLIDAYS LTD</w:t>
      </w:r>
    </w:p>
    <w:p>
      <w:pPr>
        <w:pStyle w:val="Heading2"/>
      </w:pPr>
      <w:r>
        <w:t>Volume 3.11 – Exhibit Documents</w:t>
      </w:r>
    </w:p>
    <w:p>
      <w:r>
        <w:t>Master Trial Bundle</w:t>
        <w:br/>
        <w:t>Version 1.0</w:t>
      </w:r>
    </w:p>
    <w:p>
      <w:pPr>
        <w:pStyle w:val="Heading2"/>
      </w:pPr>
      <w:r>
        <w:t>Purpose</w:t>
      </w:r>
    </w:p>
    <w:p>
      <w:r>
        <w:t>This document provides the master exhibit register for all documentary evidence relied upon within the litigation bundle. Each exhibit has a unique reference to assist the Court, legal representatives and experts when locating evidence.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Exhibit</w:t>
            </w:r>
          </w:p>
        </w:tc>
        <w:tc>
          <w:tcPr>
            <w:tcW w:type="dxa" w:w="2160"/>
          </w:tcPr>
          <w:p>
            <w:r>
              <w:t>Document</w:t>
            </w:r>
          </w:p>
        </w:tc>
        <w:tc>
          <w:tcPr>
            <w:tcW w:type="dxa" w:w="2160"/>
          </w:tcPr>
          <w:p>
            <w:r>
              <w:t>Volume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</w:tbl>
    <w:p>
      <w:pPr>
        <w:pStyle w:val="Heading2"/>
      </w:pPr>
      <w:r>
        <w:t>Exhibit Management</w:t>
      </w:r>
    </w:p>
    <w:p>
      <w:r>
        <w:t>Every exhibit should retain the same reference throughout the proceedings. Where additional evidence is disclosed, new exhibit numbers should be allocated without altering existing references.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