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3.8A – Park Rules &amp; Regulations</w:t>
      </w:r>
    </w:p>
    <w:p>
      <w:r>
        <w:t>Master Trial Bundle</w:t>
        <w:br/>
        <w:t>Version 1.0</w:t>
      </w:r>
    </w:p>
    <w:p>
      <w:pPr>
        <w:pStyle w:val="Heading2"/>
      </w:pPr>
      <w:r>
        <w:t>Purpose</w:t>
      </w:r>
    </w:p>
    <w:p>
      <w:r>
        <w:t>This document indexes the park rules and regulations applicable to the Claimant's occupation of the pitch. It identifies the contractual documents disclosed or expected from the Subject Access Request (SAR) and should be read alongside the pitch licence.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Rule Ref</w:t>
            </w:r>
          </w:p>
        </w:tc>
        <w:tc>
          <w:tcPr>
            <w:tcW w:type="dxa" w:w="2160"/>
          </w:tcPr>
          <w:p>
            <w:r>
              <w:t>Document / Rule</w:t>
            </w:r>
          </w:p>
        </w:tc>
        <w:tc>
          <w:tcPr>
            <w:tcW w:type="dxa" w:w="2160"/>
          </w:tcPr>
          <w:p>
            <w:r>
              <w:t>Evidence Source</w:t>
            </w:r>
          </w:p>
        </w:tc>
        <w:tc>
          <w:tcPr>
            <w:tcW w:type="dxa" w:w="2160"/>
          </w:tcPr>
          <w:p>
            <w:r>
              <w:t>Status</w:t>
            </w:r>
          </w:p>
        </w:tc>
      </w:tr>
      <w:tr>
        <w:tc>
          <w:tcPr>
            <w:tcW w:type="dxa" w:w="2160"/>
          </w:tcPr>
          <w:p>
            <w:r>
              <w:t>PR-001</w:t>
            </w:r>
          </w:p>
        </w:tc>
        <w:tc>
          <w:tcPr>
            <w:tcW w:type="dxa" w:w="2160"/>
          </w:tcPr>
          <w:p>
            <w:r>
              <w:t>Park Rules &amp; Regulations</w:t>
            </w:r>
          </w:p>
        </w:tc>
        <w:tc>
          <w:tcPr>
            <w:tcW w:type="dxa" w:w="2160"/>
          </w:tcPr>
          <w:p>
            <w:r>
              <w:t>SAR / Pitch Licence</w:t>
            </w:r>
          </w:p>
        </w:tc>
        <w:tc>
          <w:tcPr>
            <w:tcW w:type="dxa" w:w="2160"/>
          </w:tcPr>
          <w:p>
            <w:r>
              <w:t>To verify</w:t>
            </w:r>
          </w:p>
        </w:tc>
      </w:tr>
      <w:tr>
        <w:tc>
          <w:tcPr>
            <w:tcW w:type="dxa" w:w="2160"/>
          </w:tcPr>
          <w:p>
            <w:r>
              <w:t>PR-002</w:t>
            </w:r>
          </w:p>
        </w:tc>
        <w:tc>
          <w:tcPr>
            <w:tcW w:type="dxa" w:w="2160"/>
          </w:tcPr>
          <w:p>
            <w:r>
              <w:t>Owner Handbook</w:t>
            </w:r>
          </w:p>
        </w:tc>
        <w:tc>
          <w:tcPr>
            <w:tcW w:type="dxa" w:w="2160"/>
          </w:tcPr>
          <w:p>
            <w:r>
              <w:t>SAR</w:t>
            </w:r>
          </w:p>
        </w:tc>
        <w:tc>
          <w:tcPr>
            <w:tcW w:type="dxa" w:w="2160"/>
          </w:tcPr>
          <w:p>
            <w:r>
              <w:t>If disclosed</w:t>
            </w:r>
          </w:p>
        </w:tc>
      </w:tr>
      <w:tr>
        <w:tc>
          <w:tcPr>
            <w:tcW w:type="dxa" w:w="2160"/>
          </w:tcPr>
          <w:p>
            <w:r>
              <w:t>PR-003</w:t>
            </w:r>
          </w:p>
        </w:tc>
        <w:tc>
          <w:tcPr>
            <w:tcW w:type="dxa" w:w="2160"/>
          </w:tcPr>
          <w:p>
            <w:r>
              <w:t>Site Operating Rules</w:t>
            </w:r>
          </w:p>
        </w:tc>
        <w:tc>
          <w:tcPr>
            <w:tcW w:type="dxa" w:w="2160"/>
          </w:tcPr>
          <w:p>
            <w:r>
              <w:t>SAR</w:t>
            </w:r>
          </w:p>
        </w:tc>
        <w:tc>
          <w:tcPr>
            <w:tcW w:type="dxa" w:w="2160"/>
          </w:tcPr>
          <w:p>
            <w:r>
              <w:t>If disclosed</w:t>
            </w:r>
          </w:p>
        </w:tc>
      </w:tr>
      <w:tr>
        <w:tc>
          <w:tcPr>
            <w:tcW w:type="dxa" w:w="2160"/>
          </w:tcPr>
          <w:p>
            <w:r>
              <w:t>PR-004</w:t>
            </w:r>
          </w:p>
        </w:tc>
        <w:tc>
          <w:tcPr>
            <w:tcW w:type="dxa" w:w="2160"/>
          </w:tcPr>
          <w:p>
            <w:r>
              <w:t>Health &amp; Safety Guidance</w:t>
            </w:r>
          </w:p>
        </w:tc>
        <w:tc>
          <w:tcPr>
            <w:tcW w:type="dxa" w:w="2160"/>
          </w:tcPr>
          <w:p>
            <w:r>
              <w:t>SAR</w:t>
            </w:r>
          </w:p>
        </w:tc>
        <w:tc>
          <w:tcPr>
            <w:tcW w:type="dxa" w:w="2160"/>
          </w:tcPr>
          <w:p>
            <w:r>
              <w:t>If disclosed</w:t>
            </w:r>
          </w:p>
        </w:tc>
      </w:tr>
      <w:tr>
        <w:tc>
          <w:tcPr>
            <w:tcW w:type="dxa" w:w="2160"/>
          </w:tcPr>
          <w:p>
            <w:r>
              <w:t>PR-005</w:t>
            </w:r>
          </w:p>
        </w:tc>
        <w:tc>
          <w:tcPr>
            <w:tcW w:type="dxa" w:w="2160"/>
          </w:tcPr>
          <w:p>
            <w:r>
              <w:t>Owner Correspondence Regarding Rules</w:t>
            </w:r>
          </w:p>
        </w:tc>
        <w:tc>
          <w:tcPr>
            <w:tcW w:type="dxa" w:w="2160"/>
          </w:tcPr>
          <w:p>
            <w:r>
              <w:t>SAR correspondence</w:t>
            </w:r>
          </w:p>
        </w:tc>
        <w:tc>
          <w:tcPr>
            <w:tcW w:type="dxa" w:w="2160"/>
          </w:tcPr>
          <w:p>
            <w:r>
              <w:t>Cross-referenced</w:t>
            </w:r>
          </w:p>
        </w:tc>
      </w:tr>
    </w:tbl>
    <w:p>
      <w:pPr>
        <w:pStyle w:val="Heading2"/>
      </w:pPr>
      <w:r>
        <w:t>Analysis</w:t>
      </w:r>
    </w:p>
    <w:p>
      <w:r>
        <w:t>The park rules form part of the contractual framework governing ownership and occupation. They should be considered together with the pitch licence, purchase documents, correspondence and complaint history.</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KV-01</w:t>
            </w:r>
          </w:p>
        </w:tc>
        <w:tc>
          <w:tcPr>
            <w:tcW w:type="dxa" w:w="4320"/>
          </w:tcPr>
          <w:p>
            <w:r>
              <w:t>Purchase Agreement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KV-21</w:t>
            </w:r>
          </w:p>
        </w:tc>
        <w:tc>
          <w:tcPr>
            <w:tcW w:type="dxa" w:w="4320"/>
          </w:tcPr>
          <w:p>
            <w:r>
              <w:t>Correspondence Bundle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