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3.8 – Pitch Licence &amp; Site Licence Documents</w:t>
      </w:r>
    </w:p>
    <w:p>
      <w:r>
        <w:t>Master Trial Bundle</w:t>
        <w:br/>
        <w:t>Version 1.0</w:t>
      </w:r>
    </w:p>
    <w:p>
      <w:pPr>
        <w:pStyle w:val="Heading2"/>
      </w:pPr>
      <w:r>
        <w:t>Purpose</w:t>
      </w:r>
    </w:p>
    <w:p>
      <w:r>
        <w:t>This document summarises the pitch licence documentation identified from the Subject Access Request (SAR) and associated ownership records. It records the available evidence concerning the licence to occupy the pitch at Haven Hopton Holiday Village.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Licence Ref</w:t>
            </w:r>
          </w:p>
        </w:tc>
        <w:tc>
          <w:tcPr>
            <w:tcW w:type="dxa" w:w="2160"/>
          </w:tcPr>
          <w:p>
            <w:r>
              <w:t>Document</w:t>
            </w:r>
          </w:p>
        </w:tc>
        <w:tc>
          <w:tcPr>
            <w:tcW w:type="dxa" w:w="2160"/>
          </w:tcPr>
          <w:p>
            <w:r>
              <w:t>Evidence Source</w:t>
            </w:r>
          </w:p>
        </w:tc>
        <w:tc>
          <w:tcPr>
            <w:tcW w:type="dxa" w:w="2160"/>
          </w:tcPr>
          <w:p>
            <w:r>
              <w:t>Status</w:t>
            </w:r>
          </w:p>
        </w:tc>
      </w:tr>
      <w:tr>
        <w:tc>
          <w:tcPr>
            <w:tcW w:type="dxa" w:w="2160"/>
          </w:tcPr>
          <w:p>
            <w:r>
              <w:t>PL-001</w:t>
            </w:r>
          </w:p>
        </w:tc>
        <w:tc>
          <w:tcPr>
            <w:tcW w:type="dxa" w:w="2160"/>
          </w:tcPr>
          <w:p>
            <w:r>
              <w:t>Pitch Licence Agreement</w:t>
            </w:r>
          </w:p>
        </w:tc>
        <w:tc>
          <w:tcPr>
            <w:tcW w:type="dxa" w:w="2160"/>
          </w:tcPr>
          <w:p>
            <w:r>
              <w:t>Subject Access Request (SAR)</w:t>
            </w:r>
          </w:p>
        </w:tc>
        <w:tc>
          <w:tcPr>
            <w:tcW w:type="dxa" w:w="2160"/>
          </w:tcPr>
          <w:p>
            <w:r>
              <w:t>To verify</w:t>
            </w:r>
          </w:p>
        </w:tc>
      </w:tr>
      <w:tr>
        <w:tc>
          <w:tcPr>
            <w:tcW w:type="dxa" w:w="2160"/>
          </w:tcPr>
          <w:p>
            <w:r>
              <w:t>PL-002</w:t>
            </w:r>
          </w:p>
        </w:tc>
        <w:tc>
          <w:tcPr>
            <w:tcW w:type="dxa" w:w="2160"/>
          </w:tcPr>
          <w:p>
            <w:r>
              <w:t>Park Rules and Conditions</w:t>
            </w:r>
          </w:p>
        </w:tc>
        <w:tc>
          <w:tcPr>
            <w:tcW w:type="dxa" w:w="2160"/>
          </w:tcPr>
          <w:p>
            <w:r>
              <w:t>Subject Access Request (SAR)</w:t>
            </w:r>
          </w:p>
        </w:tc>
        <w:tc>
          <w:tcPr>
            <w:tcW w:type="dxa" w:w="2160"/>
          </w:tcPr>
          <w:p>
            <w:r>
              <w:t>To verify</w:t>
            </w:r>
          </w:p>
        </w:tc>
      </w:tr>
      <w:tr>
        <w:tc>
          <w:tcPr>
            <w:tcW w:type="dxa" w:w="2160"/>
          </w:tcPr>
          <w:p>
            <w:r>
              <w:t>PL-003</w:t>
            </w:r>
          </w:p>
        </w:tc>
        <w:tc>
          <w:tcPr>
            <w:tcW w:type="dxa" w:w="2160"/>
          </w:tcPr>
          <w:p>
            <w:r>
              <w:t>Pitch Fee Schedule</w:t>
            </w:r>
          </w:p>
        </w:tc>
        <w:tc>
          <w:tcPr>
            <w:tcW w:type="dxa" w:w="2160"/>
          </w:tcPr>
          <w:p>
            <w:r>
              <w:t>Subject Access Request (SAR)</w:t>
            </w:r>
          </w:p>
        </w:tc>
        <w:tc>
          <w:tcPr>
            <w:tcW w:type="dxa" w:w="2160"/>
          </w:tcPr>
          <w:p>
            <w:r>
              <w:t>Cross-referenced</w:t>
            </w:r>
          </w:p>
        </w:tc>
      </w:tr>
      <w:tr>
        <w:tc>
          <w:tcPr>
            <w:tcW w:type="dxa" w:w="2160"/>
          </w:tcPr>
          <w:p>
            <w:r>
              <w:t>PL-004</w:t>
            </w:r>
          </w:p>
        </w:tc>
        <w:tc>
          <w:tcPr>
            <w:tcW w:type="dxa" w:w="2160"/>
          </w:tcPr>
          <w:p>
            <w:r>
              <w:t>Licence Renewal / Variation</w:t>
            </w:r>
          </w:p>
        </w:tc>
        <w:tc>
          <w:tcPr>
            <w:tcW w:type="dxa" w:w="2160"/>
          </w:tcPr>
          <w:p>
            <w:r>
              <w:t>SAR / Haven records</w:t>
            </w:r>
          </w:p>
        </w:tc>
        <w:tc>
          <w:tcPr>
            <w:tcW w:type="dxa" w:w="2160"/>
          </w:tcPr>
          <w:p>
            <w:r>
              <w:t>If disclosed</w:t>
            </w:r>
          </w:p>
        </w:tc>
      </w:tr>
      <w:tr>
        <w:tc>
          <w:tcPr>
            <w:tcW w:type="dxa" w:w="2160"/>
          </w:tcPr>
          <w:p>
            <w:r>
              <w:t>PL-005</w:t>
            </w:r>
          </w:p>
        </w:tc>
        <w:tc>
          <w:tcPr>
            <w:tcW w:type="dxa" w:w="2160"/>
          </w:tcPr>
          <w:p>
            <w:r>
              <w:t>Correspondence concerning pitch</w:t>
            </w:r>
          </w:p>
        </w:tc>
        <w:tc>
          <w:tcPr>
            <w:tcW w:type="dxa" w:w="2160"/>
          </w:tcPr>
          <w:p>
            <w:r>
              <w:t>SAR correspondence</w:t>
            </w:r>
          </w:p>
        </w:tc>
        <w:tc>
          <w:tcPr>
            <w:tcW w:type="dxa" w:w="2160"/>
          </w:tcPr>
          <w:p>
            <w:r>
              <w:t>Cross-referenced</w:t>
            </w:r>
          </w:p>
        </w:tc>
      </w:tr>
    </w:tbl>
    <w:p>
      <w:pPr>
        <w:pStyle w:val="Heading2"/>
      </w:pPr>
      <w:r>
        <w:t>Pitch Licence Analysis</w:t>
      </w:r>
    </w:p>
    <w:p>
      <w:r>
        <w:t>The pitch licence defines the contractual terms governing occupation of the pitch and is an important document in understanding the parties' rights and obligations. It should be read alongside the purchase documents, ownership records, pitch fee records and correspondence.</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KV-01</w:t>
            </w:r>
          </w:p>
        </w:tc>
        <w:tc>
          <w:tcPr>
            <w:tcW w:type="dxa" w:w="4320"/>
          </w:tcPr>
          <w:p>
            <w:r>
              <w:t>Purchase Agreement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KV-17</w:t>
            </w:r>
          </w:p>
        </w:tc>
        <w:tc>
          <w:tcPr>
            <w:tcW w:type="dxa" w:w="4320"/>
          </w:tcPr>
          <w:p>
            <w:r>
              <w:t>Financial Loss Register</w:t>
            </w:r>
          </w:p>
        </w:tc>
      </w:tr>
      <w:tr>
        <w:tc>
          <w:tcPr>
            <w:tcW w:type="dxa" w:w="4320"/>
          </w:tcPr>
          <w:p>
            <w:r>
              <w:t>KV-18</w:t>
            </w:r>
          </w:p>
        </w:tc>
        <w:tc>
          <w:tcPr>
            <w:tcW w:type="dxa" w:w="4320"/>
          </w:tcPr>
          <w:p>
            <w:r>
              <w:t>Reconciled Schedule of Loss</w:t>
            </w:r>
          </w:p>
        </w:tc>
      </w:tr>
      <w:tr>
        <w:tc>
          <w:tcPr>
            <w:tcW w:type="dxa" w:w="4320"/>
          </w:tcPr>
          <w:p>
            <w:r>
              <w:t>KV-21</w:t>
            </w:r>
          </w:p>
        </w:tc>
        <w:tc>
          <w:tcPr>
            <w:tcW w:type="dxa" w:w="4320"/>
          </w:tcPr>
          <w:p>
            <w:r>
              <w:t>Correspondence Bundle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