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C0CFF" w:rsidRDefault="003C0CFF"/>
    <w:p w:rsidR="003C0CFF" w:rsidRDefault="003C0CFF"/>
    <w:p w:rsidR="003C0CFF" w:rsidRPr="00AD694D" w:rsidRDefault="00AD694D">
      <w:pPr>
        <w:spacing w:after="160"/>
        <w:jc w:val="center"/>
        <w:rPr>
          <w:color w:val="000000" w:themeColor="text1"/>
          <w:sz w:val="40"/>
          <w:szCs w:val="40"/>
        </w:rPr>
      </w:pPr>
      <w:r w:rsidRPr="00AD694D">
        <w:rPr>
          <w:rFonts w:cs="Arial"/>
          <w:b/>
          <w:bCs/>
          <w:color w:val="000000" w:themeColor="text1"/>
          <w:sz w:val="40"/>
          <w:szCs w:val="40"/>
        </w:rPr>
        <w:t>CORPORATE EARNINGS IN INDIA</w:t>
      </w:r>
    </w:p>
    <w:p w:rsidR="00AD694D" w:rsidRDefault="0094637A" w:rsidP="00AD694D">
      <w:pPr>
        <w:spacing w:after="400"/>
        <w:jc w:val="center"/>
      </w:pPr>
      <w:r>
        <w:rPr>
          <w:rFonts w:cs="Arial"/>
          <w:b/>
          <w:bCs/>
          <w:color w:val="C0392B"/>
          <w:sz w:val="32"/>
          <w:szCs w:val="32"/>
        </w:rPr>
        <w:t>Quarterly Results Analysis (Q3 FY2024-25)</w:t>
      </w:r>
    </w:p>
    <w:p w:rsidR="003C0CFF" w:rsidRDefault="003C0CFF" w:rsidP="00AD694D">
      <w:pPr>
        <w:spacing w:after="400"/>
        <w:jc w:val="center"/>
      </w:pPr>
    </w:p>
    <w:p w:rsidR="00AD694D" w:rsidRPr="00EA796C" w:rsidRDefault="00AD694D" w:rsidP="00AD694D">
      <w:pPr>
        <w:pStyle w:val="Heading1"/>
        <w:pBdr>
          <w:bottom w:val="single" w:sz="6" w:space="1" w:color="1F3864"/>
        </w:pBdr>
        <w:rPr>
          <w:color w:val="000000" w:themeColor="text1"/>
        </w:rPr>
      </w:pPr>
      <w:r>
        <w:rPr>
          <w:color w:val="000000" w:themeColor="text1"/>
        </w:rPr>
        <w:t>Executive Summary</w:t>
      </w:r>
    </w:p>
    <w:p w:rsidR="003C0CFF" w:rsidRDefault="0094637A">
      <w:pPr>
        <w:spacing w:before="80" w:after="80"/>
        <w:jc w:val="both"/>
      </w:pPr>
      <w:r>
        <w:rPr>
          <w:rFonts w:cs="Arial"/>
        </w:rPr>
        <w:t>The Q3 FY25 earnings season (October–December 2024) delivered a mixed but stabilising picture for Indian corporates. Among roughly 1,900 listed companies analysed, net profit grew approximately 14% year-on-year (YoY) to ₹3.37 lakh crore, while net revenue rose 5.9% YoY to ₹28.43 lakh crore. Both figures represent a sequential improvement after two consecutive weak quarters, yet earnings growth is clearly decelerating from the 15–16% seen in the same quarter of FY24.</w:t>
      </w:r>
    </w:p>
    <w:p w:rsidR="003C0CFF" w:rsidRDefault="0094637A">
      <w:pPr>
        <w:spacing w:before="80" w:after="80"/>
        <w:jc w:val="both"/>
      </w:pPr>
      <w:r>
        <w:rPr>
          <w:rFonts w:cs="Arial"/>
        </w:rPr>
        <w:t>BFSI remained the standout, posting 20% profit growth. IT saw a quiet recovery, with Infosys upgrading its full-year revenue guidance to 4.5–5.0% in constant currency. FMCG companies like ITC held steady on volumes, while Oil &amp; Gas (Reliance) faced refining margin headwinds. The automobile and cement sectors were the key laggards.</w:t>
      </w:r>
    </w:p>
    <w:p w:rsidR="00D40D2C" w:rsidRDefault="0094637A">
      <w:pPr>
        <w:spacing w:before="80" w:after="80"/>
        <w:jc w:val="both"/>
      </w:pPr>
      <w:r>
        <w:rPr>
          <w:rFonts w:cs="Arial"/>
        </w:rPr>
        <w:t>On the macro front, the RBI began an easing cycle in February 2025 with a 25 bps repo rate cut to 6.25%, citing softening inflation. India's GDP is forecast at 6.5–6.6% for FY25, supported by rural demand recovery and continued government capital expenditure (capex) of ₹10.18 lakh crore budgeted for FY25.</w:t>
      </w:r>
    </w:p>
    <w:p w:rsidR="003C0CFF" w:rsidRDefault="0094637A">
      <w:pPr>
        <w:spacing w:before="80" w:after="80"/>
        <w:jc w:val="both"/>
      </w:pPr>
      <w:r>
        <w:rPr>
          <w:rFonts w:cs="Arial"/>
          <w:b/>
          <w:bCs/>
        </w:rPr>
        <w:t xml:space="preserve">Insight: </w:t>
      </w:r>
      <w:r>
        <w:rPr>
          <w:rFonts w:cs="Arial"/>
        </w:rPr>
        <w:t xml:space="preserve">The headline PAT growth of 14% hides a crucial asymmetry: BFSI alone contributed nearly 39% of total profits. Excluding BFSI, non-financial corporate earnings grew only ~10%, pointing to a demand slowdown that consensus estimates may be </w:t>
      </w:r>
      <w:proofErr w:type="spellStart"/>
      <w:r>
        <w:rPr>
          <w:rFonts w:cs="Arial"/>
        </w:rPr>
        <w:t>underpricing</w:t>
      </w:r>
      <w:proofErr w:type="spellEnd"/>
      <w:r>
        <w:rPr>
          <w:rFonts w:cs="Arial"/>
        </w:rPr>
        <w:t xml:space="preserve"> as they project a V-shaped recovery for FY26.</w:t>
      </w:r>
    </w:p>
    <w:p w:rsidR="003C0CFF" w:rsidRDefault="003C0CFF"/>
    <w:p w:rsidR="003C0CFF" w:rsidRPr="00EA796C" w:rsidRDefault="00EA796C">
      <w:pPr>
        <w:pStyle w:val="Heading1"/>
        <w:pBdr>
          <w:bottom w:val="single" w:sz="6" w:space="1" w:color="1F3864"/>
        </w:pBdr>
        <w:rPr>
          <w:color w:val="000000" w:themeColor="text1"/>
        </w:rPr>
      </w:pPr>
      <w:r w:rsidRPr="00EA796C">
        <w:rPr>
          <w:color w:val="000000" w:themeColor="text1"/>
        </w:rPr>
        <w:t>1.</w:t>
      </w:r>
      <w:r w:rsidR="0094637A" w:rsidRPr="00EA796C">
        <w:rPr>
          <w:color w:val="000000" w:themeColor="text1"/>
        </w:rPr>
        <w:t xml:space="preserve"> Introduction</w:t>
      </w:r>
    </w:p>
    <w:p w:rsidR="003C0CFF" w:rsidRDefault="0094637A">
      <w:pPr>
        <w:spacing w:before="80" w:after="80"/>
        <w:jc w:val="both"/>
      </w:pPr>
      <w:r>
        <w:rPr>
          <w:rFonts w:cs="Arial"/>
        </w:rPr>
        <w:t>India's corporate earnings season is one of the most closely watched events in the financial calendar. Every quarter, over 5,000 listed companies submit financial results to the stock exchanges under the Securities and Exchange Board of India (SEBI) Listing Obligations and Disclosure Requirements (LODR) Regulations, 2015. The data these filings generate forms the factual backbone for analyst upgrades, fund flows, and market valuations.</w:t>
      </w:r>
    </w:p>
    <w:p w:rsidR="003C0CFF" w:rsidRDefault="0094637A">
      <w:pPr>
        <w:spacing w:before="80" w:after="80"/>
        <w:jc w:val="both"/>
      </w:pPr>
      <w:r>
        <w:rPr>
          <w:rFonts w:cs="Arial"/>
        </w:rPr>
        <w:t>Q3 FY25 spans the October to December 2024 period — a quarter that includes the festive season (October-November), making it traditionally strong for consumption-linked sectors. This makes any underperformance during Q3 a more concerning signal than weakness in, say, Q1 FY25.</w:t>
      </w:r>
    </w:p>
    <w:p w:rsidR="003C0CFF" w:rsidRDefault="0094637A">
      <w:pPr>
        <w:spacing w:before="80" w:after="80"/>
        <w:jc w:val="both"/>
      </w:pPr>
      <w:r>
        <w:rPr>
          <w:rFonts w:cs="Arial"/>
        </w:rPr>
        <w:t>This report analyses Q3 FY25 corporate earnings across five major sectors and five large-cap companies — Reliance Industries, Infosys, HDFC Bank, ITC, and TCS — and links their performance to monetary policy, government spending, PLI incentives, and global headwinds. The report concludes with scenario analysis and forward-looking recommendations.</w:t>
      </w:r>
    </w:p>
    <w:p w:rsidR="003C0CFF" w:rsidRDefault="0094637A">
      <w:pPr>
        <w:spacing w:before="80" w:after="80"/>
        <w:jc w:val="both"/>
      </w:pPr>
      <w:r>
        <w:rPr>
          <w:rFonts w:cs="Arial"/>
        </w:rPr>
        <w:t>India's real GDP grew at 6.4% in FY25 — above the global average of 3.2% but below the 8.2% recorded in FY24, reflecting normalization after a high-base year. Private final consumption grew an estimated 7.3%, aided by rural demand recovery and urban festive spending.</w:t>
      </w:r>
    </w:p>
    <w:p w:rsidR="003C0CFF" w:rsidRDefault="003C0CFF"/>
    <w:p w:rsidR="003C0CFF" w:rsidRPr="00EA796C" w:rsidRDefault="00EA796C">
      <w:pPr>
        <w:pStyle w:val="Heading1"/>
        <w:pBdr>
          <w:bottom w:val="single" w:sz="6" w:space="1" w:color="1F3864"/>
        </w:pBdr>
        <w:rPr>
          <w:color w:val="000000" w:themeColor="text1"/>
        </w:rPr>
      </w:pPr>
      <w:r w:rsidRPr="00EA796C">
        <w:rPr>
          <w:color w:val="000000" w:themeColor="text1"/>
        </w:rPr>
        <w:t>2</w:t>
      </w:r>
      <w:r w:rsidR="0094637A" w:rsidRPr="00EA796C">
        <w:rPr>
          <w:color w:val="000000" w:themeColor="text1"/>
        </w:rPr>
        <w:t>. Recent Trends and Data</w:t>
      </w:r>
    </w:p>
    <w:p w:rsidR="003C0CFF" w:rsidRPr="00EA796C" w:rsidRDefault="00EA796C">
      <w:pPr>
        <w:pStyle w:val="Heading2"/>
        <w:rPr>
          <w:color w:val="000000" w:themeColor="text1"/>
        </w:rPr>
      </w:pPr>
      <w:r w:rsidRPr="00EA796C">
        <w:rPr>
          <w:color w:val="000000" w:themeColor="text1"/>
        </w:rPr>
        <w:t>2</w:t>
      </w:r>
      <w:r w:rsidR="0094637A" w:rsidRPr="00EA796C">
        <w:rPr>
          <w:color w:val="000000" w:themeColor="text1"/>
        </w:rPr>
        <w:t>.1 India Inc. Aggregate Performance</w:t>
      </w:r>
    </w:p>
    <w:p w:rsidR="003C0CFF" w:rsidRDefault="0094637A">
      <w:pPr>
        <w:spacing w:before="80" w:after="80"/>
        <w:jc w:val="both"/>
      </w:pPr>
      <w:r>
        <w:rPr>
          <w:rFonts w:cs="Arial"/>
        </w:rPr>
        <w:t>For Q3 FY25, aggregate results across 3,618 listed companies showed net revenues rising 7% YoY to ₹37.73 trillion and net earnings rising 6.2% YoY to ₹3.47 trillion. Nifty 50 companies specifically posted PAT growth of 5% YoY — a marked deceleration from 15.4% in Q3 FY24, and broadly in line with low analyst expectations heading into the season.</w:t>
      </w:r>
    </w:p>
    <w:p w:rsidR="003C0CFF" w:rsidRDefault="0094637A">
      <w:pPr>
        <w:spacing w:before="80" w:after="80"/>
        <w:jc w:val="both"/>
      </w:pPr>
      <w:r>
        <w:rPr>
          <w:rFonts w:cs="Arial"/>
        </w:rPr>
        <w:t>Notably, operating profit margins (EBITDA margin) reached 28.7% — the best in 21 quarters — suggesting that cost efficiencies are working even as top-line growth stalls. This margin expansion is a subtle but important signal: companies are managing their cost base well, which sets up stronger earnings leverage once revenue growth reaccelerates.</w:t>
      </w:r>
    </w:p>
    <w:p w:rsidR="003C0CFF" w:rsidRDefault="003C0CFF"/>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600"/>
        <w:gridCol w:w="1600"/>
        <w:gridCol w:w="1600"/>
        <w:gridCol w:w="1800"/>
      </w:tblGrid>
      <w:tr w:rsidR="003C0CFF">
        <w:tc>
          <w:tcPr>
            <w:tcW w:w="2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rsidR="003C0CFF" w:rsidRDefault="0094637A">
            <w:pPr>
              <w:jc w:val="center"/>
            </w:pPr>
            <w:r>
              <w:rPr>
                <w:rFonts w:cs="Arial"/>
                <w:b/>
                <w:bCs/>
                <w:color w:val="FFFFFF"/>
                <w:sz w:val="20"/>
                <w:szCs w:val="20"/>
              </w:rPr>
              <w:t>Metric</w:t>
            </w:r>
          </w:p>
        </w:tc>
        <w:tc>
          <w:tcPr>
            <w:tcW w:w="1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rsidR="003C0CFF" w:rsidRDefault="0094637A">
            <w:pPr>
              <w:jc w:val="center"/>
            </w:pPr>
            <w:r>
              <w:rPr>
                <w:rFonts w:cs="Arial"/>
                <w:b/>
                <w:bCs/>
                <w:color w:val="FFFFFF"/>
                <w:sz w:val="20"/>
                <w:szCs w:val="20"/>
              </w:rPr>
              <w:t>Q3 FY24</w:t>
            </w:r>
          </w:p>
        </w:tc>
        <w:tc>
          <w:tcPr>
            <w:tcW w:w="1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rsidR="003C0CFF" w:rsidRDefault="0094637A">
            <w:pPr>
              <w:jc w:val="center"/>
            </w:pPr>
            <w:r>
              <w:rPr>
                <w:rFonts w:cs="Arial"/>
                <w:b/>
                <w:bCs/>
                <w:color w:val="FFFFFF"/>
                <w:sz w:val="20"/>
                <w:szCs w:val="20"/>
              </w:rPr>
              <w:t>Q2 FY25</w:t>
            </w:r>
          </w:p>
        </w:tc>
        <w:tc>
          <w:tcPr>
            <w:tcW w:w="1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rsidR="003C0CFF" w:rsidRDefault="0094637A">
            <w:pPr>
              <w:jc w:val="center"/>
            </w:pPr>
            <w:r>
              <w:rPr>
                <w:rFonts w:cs="Arial"/>
                <w:b/>
                <w:bCs/>
                <w:color w:val="FFFFFF"/>
                <w:sz w:val="20"/>
                <w:szCs w:val="20"/>
              </w:rPr>
              <w:t>Q3 FY25</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rsidR="003C0CFF" w:rsidRDefault="0094637A">
            <w:pPr>
              <w:jc w:val="center"/>
            </w:pPr>
            <w:r>
              <w:rPr>
                <w:rFonts w:cs="Arial"/>
                <w:b/>
                <w:bCs/>
                <w:color w:val="FFFFFF"/>
                <w:sz w:val="20"/>
                <w:szCs w:val="20"/>
              </w:rPr>
              <w:t>Change (YoY)</w:t>
            </w:r>
          </w:p>
        </w:tc>
      </w:tr>
      <w:tr w:rsidR="003C0CFF">
        <w:tc>
          <w:tcPr>
            <w:tcW w:w="2600" w:type="dxa"/>
            <w:tcBorders>
              <w:top w:val="single" w:sz="1" w:space="0" w:color="AAAAAA"/>
              <w:left w:val="single" w:sz="1" w:space="0" w:color="AAAAAA"/>
              <w:bottom w:val="single" w:sz="1" w:space="0" w:color="AAAAAA"/>
              <w:right w:val="single" w:sz="1" w:space="0" w:color="AAAAAA"/>
            </w:tcBorders>
            <w:shd w:val="clear" w:color="auto" w:fill="EBF3FC"/>
            <w:tcMar>
              <w:top w:w="60" w:type="dxa"/>
              <w:left w:w="120" w:type="dxa"/>
              <w:bottom w:w="60" w:type="dxa"/>
              <w:right w:w="120" w:type="dxa"/>
            </w:tcMar>
          </w:tcPr>
          <w:p w:rsidR="003C0CFF" w:rsidRDefault="0094637A">
            <w:pPr>
              <w:jc w:val="center"/>
            </w:pPr>
            <w:r>
              <w:rPr>
                <w:rFonts w:cs="Arial"/>
                <w:sz w:val="20"/>
                <w:szCs w:val="20"/>
              </w:rPr>
              <w:t xml:space="preserve">Net Revenue (₹ lakh </w:t>
            </w:r>
            <w:proofErr w:type="spellStart"/>
            <w:r>
              <w:rPr>
                <w:rFonts w:cs="Arial"/>
                <w:sz w:val="20"/>
                <w:szCs w:val="20"/>
              </w:rPr>
              <w:t>cr</w:t>
            </w:r>
            <w:proofErr w:type="spellEnd"/>
            <w:r>
              <w:rPr>
                <w:rFonts w:cs="Arial"/>
                <w:sz w:val="20"/>
                <w:szCs w:val="20"/>
              </w:rPr>
              <w:t>)</w:t>
            </w:r>
          </w:p>
        </w:tc>
        <w:tc>
          <w:tcPr>
            <w:tcW w:w="1600" w:type="dxa"/>
            <w:tcBorders>
              <w:top w:val="single" w:sz="1" w:space="0" w:color="AAAAAA"/>
              <w:left w:val="single" w:sz="1" w:space="0" w:color="AAAAAA"/>
              <w:bottom w:val="single" w:sz="1" w:space="0" w:color="AAAAAA"/>
              <w:right w:val="single" w:sz="1" w:space="0" w:color="AAAAAA"/>
            </w:tcBorders>
            <w:shd w:val="clear" w:color="auto" w:fill="EBF3FC"/>
            <w:tcMar>
              <w:top w:w="60" w:type="dxa"/>
              <w:left w:w="120" w:type="dxa"/>
              <w:bottom w:w="60" w:type="dxa"/>
              <w:right w:w="120" w:type="dxa"/>
            </w:tcMar>
          </w:tcPr>
          <w:p w:rsidR="003C0CFF" w:rsidRDefault="0094637A">
            <w:pPr>
              <w:jc w:val="center"/>
            </w:pPr>
            <w:r>
              <w:rPr>
                <w:rFonts w:cs="Arial"/>
                <w:sz w:val="20"/>
                <w:szCs w:val="20"/>
              </w:rPr>
              <w:t>26.85</w:t>
            </w:r>
          </w:p>
        </w:tc>
        <w:tc>
          <w:tcPr>
            <w:tcW w:w="1600" w:type="dxa"/>
            <w:tcBorders>
              <w:top w:val="single" w:sz="1" w:space="0" w:color="AAAAAA"/>
              <w:left w:val="single" w:sz="1" w:space="0" w:color="AAAAAA"/>
              <w:bottom w:val="single" w:sz="1" w:space="0" w:color="AAAAAA"/>
              <w:right w:val="single" w:sz="1" w:space="0" w:color="AAAAAA"/>
            </w:tcBorders>
            <w:shd w:val="clear" w:color="auto" w:fill="EBF3FC"/>
            <w:tcMar>
              <w:top w:w="60" w:type="dxa"/>
              <w:left w:w="120" w:type="dxa"/>
              <w:bottom w:w="60" w:type="dxa"/>
              <w:right w:w="120" w:type="dxa"/>
            </w:tcMar>
          </w:tcPr>
          <w:p w:rsidR="003C0CFF" w:rsidRDefault="0094637A">
            <w:pPr>
              <w:jc w:val="center"/>
            </w:pPr>
            <w:r>
              <w:rPr>
                <w:rFonts w:cs="Arial"/>
                <w:sz w:val="20"/>
                <w:szCs w:val="20"/>
              </w:rPr>
              <w:t>27.0</w:t>
            </w:r>
          </w:p>
        </w:tc>
        <w:tc>
          <w:tcPr>
            <w:tcW w:w="1600" w:type="dxa"/>
            <w:tcBorders>
              <w:top w:val="single" w:sz="1" w:space="0" w:color="AAAAAA"/>
              <w:left w:val="single" w:sz="1" w:space="0" w:color="AAAAAA"/>
              <w:bottom w:val="single" w:sz="1" w:space="0" w:color="AAAAAA"/>
              <w:right w:val="single" w:sz="1" w:space="0" w:color="AAAAAA"/>
            </w:tcBorders>
            <w:shd w:val="clear" w:color="auto" w:fill="EBF3FC"/>
            <w:tcMar>
              <w:top w:w="60" w:type="dxa"/>
              <w:left w:w="120" w:type="dxa"/>
              <w:bottom w:w="60" w:type="dxa"/>
              <w:right w:w="120" w:type="dxa"/>
            </w:tcMar>
          </w:tcPr>
          <w:p w:rsidR="003C0CFF" w:rsidRDefault="0094637A">
            <w:pPr>
              <w:jc w:val="center"/>
            </w:pPr>
            <w:r>
              <w:rPr>
                <w:rFonts w:cs="Arial"/>
                <w:sz w:val="20"/>
                <w:szCs w:val="20"/>
              </w:rPr>
              <w:t>28.43</w:t>
            </w:r>
          </w:p>
        </w:tc>
        <w:tc>
          <w:tcPr>
            <w:tcW w:w="1800" w:type="dxa"/>
            <w:tcBorders>
              <w:top w:val="single" w:sz="1" w:space="0" w:color="AAAAAA"/>
              <w:left w:val="single" w:sz="1" w:space="0" w:color="AAAAAA"/>
              <w:bottom w:val="single" w:sz="1" w:space="0" w:color="AAAAAA"/>
              <w:right w:val="single" w:sz="1" w:space="0" w:color="AAAAAA"/>
            </w:tcBorders>
            <w:shd w:val="clear" w:color="auto" w:fill="EBF3FC"/>
            <w:tcMar>
              <w:top w:w="60" w:type="dxa"/>
              <w:left w:w="120" w:type="dxa"/>
              <w:bottom w:w="60" w:type="dxa"/>
              <w:right w:w="120" w:type="dxa"/>
            </w:tcMar>
          </w:tcPr>
          <w:p w:rsidR="003C0CFF" w:rsidRDefault="0094637A">
            <w:pPr>
              <w:jc w:val="center"/>
            </w:pPr>
            <w:r>
              <w:rPr>
                <w:rFonts w:cs="Arial"/>
                <w:sz w:val="20"/>
                <w:szCs w:val="20"/>
              </w:rPr>
              <w:t>+5.9%</w:t>
            </w:r>
          </w:p>
        </w:tc>
      </w:tr>
      <w:tr w:rsidR="003C0CFF">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3C0CFF" w:rsidRDefault="0094637A">
            <w:pPr>
              <w:jc w:val="center"/>
            </w:pPr>
            <w:r>
              <w:rPr>
                <w:rFonts w:cs="Arial"/>
                <w:sz w:val="20"/>
                <w:szCs w:val="20"/>
              </w:rPr>
              <w:t xml:space="preserve">Net Profit (₹ lakh </w:t>
            </w:r>
            <w:proofErr w:type="spellStart"/>
            <w:r>
              <w:rPr>
                <w:rFonts w:cs="Arial"/>
                <w:sz w:val="20"/>
                <w:szCs w:val="20"/>
              </w:rPr>
              <w:t>cr</w:t>
            </w:r>
            <w:proofErr w:type="spellEnd"/>
            <w:r>
              <w:rPr>
                <w:rFonts w:cs="Arial"/>
                <w:sz w:val="20"/>
                <w:szCs w:val="20"/>
              </w:rPr>
              <w:t>)</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3C0CFF" w:rsidRDefault="0094637A">
            <w:pPr>
              <w:jc w:val="center"/>
            </w:pPr>
            <w:r>
              <w:rPr>
                <w:rFonts w:cs="Arial"/>
                <w:sz w:val="20"/>
                <w:szCs w:val="20"/>
              </w:rPr>
              <w:t>2.96</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3C0CFF" w:rsidRDefault="0094637A">
            <w:pPr>
              <w:jc w:val="center"/>
            </w:pPr>
            <w:r>
              <w:rPr>
                <w:rFonts w:cs="Arial"/>
                <w:sz w:val="20"/>
                <w:szCs w:val="20"/>
              </w:rPr>
              <w:t>3.20</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3C0CFF" w:rsidRDefault="0094637A">
            <w:pPr>
              <w:jc w:val="center"/>
            </w:pPr>
            <w:r>
              <w:rPr>
                <w:rFonts w:cs="Arial"/>
                <w:sz w:val="20"/>
                <w:szCs w:val="20"/>
              </w:rPr>
              <w:t>3.37</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3C0CFF" w:rsidRDefault="0094637A">
            <w:pPr>
              <w:jc w:val="center"/>
            </w:pPr>
            <w:r>
              <w:rPr>
                <w:rFonts w:cs="Arial"/>
                <w:sz w:val="20"/>
                <w:szCs w:val="20"/>
              </w:rPr>
              <w:t>+14%</w:t>
            </w:r>
          </w:p>
        </w:tc>
      </w:tr>
      <w:tr w:rsidR="003C0CFF">
        <w:tc>
          <w:tcPr>
            <w:tcW w:w="2600" w:type="dxa"/>
            <w:tcBorders>
              <w:top w:val="single" w:sz="1" w:space="0" w:color="AAAAAA"/>
              <w:left w:val="single" w:sz="1" w:space="0" w:color="AAAAAA"/>
              <w:bottom w:val="single" w:sz="1" w:space="0" w:color="AAAAAA"/>
              <w:right w:val="single" w:sz="1" w:space="0" w:color="AAAAAA"/>
            </w:tcBorders>
            <w:shd w:val="clear" w:color="auto" w:fill="EBF3FC"/>
            <w:tcMar>
              <w:top w:w="60" w:type="dxa"/>
              <w:left w:w="120" w:type="dxa"/>
              <w:bottom w:w="60" w:type="dxa"/>
              <w:right w:w="120" w:type="dxa"/>
            </w:tcMar>
          </w:tcPr>
          <w:p w:rsidR="003C0CFF" w:rsidRDefault="0094637A">
            <w:pPr>
              <w:jc w:val="center"/>
            </w:pPr>
            <w:r>
              <w:rPr>
                <w:rFonts w:cs="Arial"/>
                <w:sz w:val="20"/>
                <w:szCs w:val="20"/>
              </w:rPr>
              <w:t>Nifty 50 PAT growth</w:t>
            </w:r>
          </w:p>
        </w:tc>
        <w:tc>
          <w:tcPr>
            <w:tcW w:w="1600" w:type="dxa"/>
            <w:tcBorders>
              <w:top w:val="single" w:sz="1" w:space="0" w:color="AAAAAA"/>
              <w:left w:val="single" w:sz="1" w:space="0" w:color="AAAAAA"/>
              <w:bottom w:val="single" w:sz="1" w:space="0" w:color="AAAAAA"/>
              <w:right w:val="single" w:sz="1" w:space="0" w:color="AAAAAA"/>
            </w:tcBorders>
            <w:shd w:val="clear" w:color="auto" w:fill="EBF3FC"/>
            <w:tcMar>
              <w:top w:w="60" w:type="dxa"/>
              <w:left w:w="120" w:type="dxa"/>
              <w:bottom w:w="60" w:type="dxa"/>
              <w:right w:w="120" w:type="dxa"/>
            </w:tcMar>
          </w:tcPr>
          <w:p w:rsidR="003C0CFF" w:rsidRDefault="0094637A">
            <w:pPr>
              <w:jc w:val="center"/>
            </w:pPr>
            <w:r>
              <w:rPr>
                <w:rFonts w:cs="Arial"/>
                <w:sz w:val="20"/>
                <w:szCs w:val="20"/>
              </w:rPr>
              <w:t>15.4%</w:t>
            </w:r>
          </w:p>
        </w:tc>
        <w:tc>
          <w:tcPr>
            <w:tcW w:w="1600" w:type="dxa"/>
            <w:tcBorders>
              <w:top w:val="single" w:sz="1" w:space="0" w:color="AAAAAA"/>
              <w:left w:val="single" w:sz="1" w:space="0" w:color="AAAAAA"/>
              <w:bottom w:val="single" w:sz="1" w:space="0" w:color="AAAAAA"/>
              <w:right w:val="single" w:sz="1" w:space="0" w:color="AAAAAA"/>
            </w:tcBorders>
            <w:shd w:val="clear" w:color="auto" w:fill="EBF3FC"/>
            <w:tcMar>
              <w:top w:w="60" w:type="dxa"/>
              <w:left w:w="120" w:type="dxa"/>
              <w:bottom w:w="60" w:type="dxa"/>
              <w:right w:w="120" w:type="dxa"/>
            </w:tcMar>
          </w:tcPr>
          <w:p w:rsidR="003C0CFF" w:rsidRDefault="0094637A">
            <w:pPr>
              <w:jc w:val="center"/>
            </w:pPr>
            <w:r>
              <w:rPr>
                <w:rFonts w:cs="Arial"/>
                <w:sz w:val="20"/>
                <w:szCs w:val="20"/>
              </w:rPr>
              <w:t>1.8%</w:t>
            </w:r>
          </w:p>
        </w:tc>
        <w:tc>
          <w:tcPr>
            <w:tcW w:w="1600" w:type="dxa"/>
            <w:tcBorders>
              <w:top w:val="single" w:sz="1" w:space="0" w:color="AAAAAA"/>
              <w:left w:val="single" w:sz="1" w:space="0" w:color="AAAAAA"/>
              <w:bottom w:val="single" w:sz="1" w:space="0" w:color="AAAAAA"/>
              <w:right w:val="single" w:sz="1" w:space="0" w:color="AAAAAA"/>
            </w:tcBorders>
            <w:shd w:val="clear" w:color="auto" w:fill="EBF3FC"/>
            <w:tcMar>
              <w:top w:w="60" w:type="dxa"/>
              <w:left w:w="120" w:type="dxa"/>
              <w:bottom w:w="60" w:type="dxa"/>
              <w:right w:w="120" w:type="dxa"/>
            </w:tcMar>
          </w:tcPr>
          <w:p w:rsidR="003C0CFF" w:rsidRDefault="0094637A">
            <w:pPr>
              <w:jc w:val="center"/>
            </w:pPr>
            <w:r>
              <w:rPr>
                <w:rFonts w:cs="Arial"/>
                <w:sz w:val="20"/>
                <w:szCs w:val="20"/>
              </w:rPr>
              <w:t>5–7%</w:t>
            </w:r>
          </w:p>
        </w:tc>
        <w:tc>
          <w:tcPr>
            <w:tcW w:w="1800" w:type="dxa"/>
            <w:tcBorders>
              <w:top w:val="single" w:sz="1" w:space="0" w:color="AAAAAA"/>
              <w:left w:val="single" w:sz="1" w:space="0" w:color="AAAAAA"/>
              <w:bottom w:val="single" w:sz="1" w:space="0" w:color="AAAAAA"/>
              <w:right w:val="single" w:sz="1" w:space="0" w:color="AAAAAA"/>
            </w:tcBorders>
            <w:shd w:val="clear" w:color="auto" w:fill="EBF3FC"/>
            <w:tcMar>
              <w:top w:w="60" w:type="dxa"/>
              <w:left w:w="120" w:type="dxa"/>
              <w:bottom w:w="60" w:type="dxa"/>
              <w:right w:w="120" w:type="dxa"/>
            </w:tcMar>
          </w:tcPr>
          <w:p w:rsidR="003C0CFF" w:rsidRDefault="0094637A">
            <w:pPr>
              <w:jc w:val="center"/>
            </w:pPr>
            <w:r>
              <w:rPr>
                <w:rFonts w:cs="Arial"/>
                <w:sz w:val="20"/>
                <w:szCs w:val="20"/>
              </w:rPr>
              <w:t>Deceleration</w:t>
            </w:r>
          </w:p>
        </w:tc>
      </w:tr>
      <w:tr w:rsidR="003C0CFF">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3C0CFF" w:rsidRDefault="0094637A">
            <w:pPr>
              <w:jc w:val="center"/>
            </w:pPr>
            <w:r>
              <w:rPr>
                <w:rFonts w:cs="Arial"/>
                <w:sz w:val="20"/>
                <w:szCs w:val="20"/>
              </w:rPr>
              <w:t>BFSI Net Profit growth</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3C0CFF" w:rsidRDefault="0094637A">
            <w:pPr>
              <w:jc w:val="center"/>
            </w:pPr>
            <w:r>
              <w:rPr>
                <w:rFonts w:cs="Arial"/>
                <w:sz w:val="20"/>
                <w:szCs w:val="20"/>
              </w:rPr>
              <w:t>15.2%</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3C0CFF" w:rsidRDefault="0094637A">
            <w:pPr>
              <w:jc w:val="center"/>
            </w:pPr>
            <w:r>
              <w:rPr>
                <w:rFonts w:cs="Arial"/>
                <w:sz w:val="20"/>
                <w:szCs w:val="20"/>
              </w:rPr>
              <w:t>18%</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3C0CFF" w:rsidRDefault="0094637A">
            <w:pPr>
              <w:jc w:val="center"/>
            </w:pPr>
            <w:r>
              <w:rPr>
                <w:rFonts w:cs="Arial"/>
                <w:sz w:val="20"/>
                <w:szCs w:val="20"/>
              </w:rPr>
              <w:t>20%</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3C0CFF" w:rsidRDefault="0094637A">
            <w:pPr>
              <w:jc w:val="center"/>
            </w:pPr>
            <w:r>
              <w:rPr>
                <w:rFonts w:cs="Arial"/>
                <w:sz w:val="20"/>
                <w:szCs w:val="20"/>
              </w:rPr>
              <w:t>+4.8 pp YoY</w:t>
            </w:r>
          </w:p>
        </w:tc>
      </w:tr>
      <w:tr w:rsidR="003C0CFF">
        <w:tc>
          <w:tcPr>
            <w:tcW w:w="2600" w:type="dxa"/>
            <w:tcBorders>
              <w:top w:val="single" w:sz="1" w:space="0" w:color="AAAAAA"/>
              <w:left w:val="single" w:sz="1" w:space="0" w:color="AAAAAA"/>
              <w:bottom w:val="single" w:sz="1" w:space="0" w:color="AAAAAA"/>
              <w:right w:val="single" w:sz="1" w:space="0" w:color="AAAAAA"/>
            </w:tcBorders>
            <w:shd w:val="clear" w:color="auto" w:fill="EBF3FC"/>
            <w:tcMar>
              <w:top w:w="60" w:type="dxa"/>
              <w:left w:w="120" w:type="dxa"/>
              <w:bottom w:w="60" w:type="dxa"/>
              <w:right w:w="120" w:type="dxa"/>
            </w:tcMar>
          </w:tcPr>
          <w:p w:rsidR="003C0CFF" w:rsidRDefault="0094637A">
            <w:pPr>
              <w:jc w:val="center"/>
            </w:pPr>
            <w:r>
              <w:rPr>
                <w:rFonts w:cs="Arial"/>
                <w:sz w:val="20"/>
                <w:szCs w:val="20"/>
              </w:rPr>
              <w:t>Ex-BFSI PAT growth</w:t>
            </w:r>
          </w:p>
        </w:tc>
        <w:tc>
          <w:tcPr>
            <w:tcW w:w="1600" w:type="dxa"/>
            <w:tcBorders>
              <w:top w:val="single" w:sz="1" w:space="0" w:color="AAAAAA"/>
              <w:left w:val="single" w:sz="1" w:space="0" w:color="AAAAAA"/>
              <w:bottom w:val="single" w:sz="1" w:space="0" w:color="AAAAAA"/>
              <w:right w:val="single" w:sz="1" w:space="0" w:color="AAAAAA"/>
            </w:tcBorders>
            <w:shd w:val="clear" w:color="auto" w:fill="EBF3FC"/>
            <w:tcMar>
              <w:top w:w="60" w:type="dxa"/>
              <w:left w:w="120" w:type="dxa"/>
              <w:bottom w:w="60" w:type="dxa"/>
              <w:right w:w="120" w:type="dxa"/>
            </w:tcMar>
          </w:tcPr>
          <w:p w:rsidR="003C0CFF" w:rsidRDefault="0094637A">
            <w:pPr>
              <w:jc w:val="center"/>
            </w:pPr>
            <w:r>
              <w:rPr>
                <w:rFonts w:cs="Arial"/>
                <w:sz w:val="20"/>
                <w:szCs w:val="20"/>
              </w:rPr>
              <w:t>20%</w:t>
            </w:r>
          </w:p>
        </w:tc>
        <w:tc>
          <w:tcPr>
            <w:tcW w:w="1600" w:type="dxa"/>
            <w:tcBorders>
              <w:top w:val="single" w:sz="1" w:space="0" w:color="AAAAAA"/>
              <w:left w:val="single" w:sz="1" w:space="0" w:color="AAAAAA"/>
              <w:bottom w:val="single" w:sz="1" w:space="0" w:color="AAAAAA"/>
              <w:right w:val="single" w:sz="1" w:space="0" w:color="AAAAAA"/>
            </w:tcBorders>
            <w:shd w:val="clear" w:color="auto" w:fill="EBF3FC"/>
            <w:tcMar>
              <w:top w:w="60" w:type="dxa"/>
              <w:left w:w="120" w:type="dxa"/>
              <w:bottom w:w="60" w:type="dxa"/>
              <w:right w:w="120" w:type="dxa"/>
            </w:tcMar>
          </w:tcPr>
          <w:p w:rsidR="003C0CFF" w:rsidRDefault="0094637A">
            <w:pPr>
              <w:jc w:val="center"/>
            </w:pPr>
            <w:r>
              <w:rPr>
                <w:rFonts w:cs="Arial"/>
                <w:sz w:val="20"/>
                <w:szCs w:val="20"/>
              </w:rPr>
              <w:t>2%</w:t>
            </w:r>
          </w:p>
        </w:tc>
        <w:tc>
          <w:tcPr>
            <w:tcW w:w="1600" w:type="dxa"/>
            <w:tcBorders>
              <w:top w:val="single" w:sz="1" w:space="0" w:color="AAAAAA"/>
              <w:left w:val="single" w:sz="1" w:space="0" w:color="AAAAAA"/>
              <w:bottom w:val="single" w:sz="1" w:space="0" w:color="AAAAAA"/>
              <w:right w:val="single" w:sz="1" w:space="0" w:color="AAAAAA"/>
            </w:tcBorders>
            <w:shd w:val="clear" w:color="auto" w:fill="EBF3FC"/>
            <w:tcMar>
              <w:top w:w="60" w:type="dxa"/>
              <w:left w:w="120" w:type="dxa"/>
              <w:bottom w:w="60" w:type="dxa"/>
              <w:right w:w="120" w:type="dxa"/>
            </w:tcMar>
          </w:tcPr>
          <w:p w:rsidR="003C0CFF" w:rsidRDefault="0094637A">
            <w:pPr>
              <w:jc w:val="center"/>
            </w:pPr>
            <w:r>
              <w:rPr>
                <w:rFonts w:cs="Arial"/>
                <w:sz w:val="20"/>
                <w:szCs w:val="20"/>
              </w:rPr>
              <w:t>10%</w:t>
            </w:r>
          </w:p>
        </w:tc>
        <w:tc>
          <w:tcPr>
            <w:tcW w:w="1800" w:type="dxa"/>
            <w:tcBorders>
              <w:top w:val="single" w:sz="1" w:space="0" w:color="AAAAAA"/>
              <w:left w:val="single" w:sz="1" w:space="0" w:color="AAAAAA"/>
              <w:bottom w:val="single" w:sz="1" w:space="0" w:color="AAAAAA"/>
              <w:right w:val="single" w:sz="1" w:space="0" w:color="AAAAAA"/>
            </w:tcBorders>
            <w:shd w:val="clear" w:color="auto" w:fill="EBF3FC"/>
            <w:tcMar>
              <w:top w:w="60" w:type="dxa"/>
              <w:left w:w="120" w:type="dxa"/>
              <w:bottom w:w="60" w:type="dxa"/>
              <w:right w:w="120" w:type="dxa"/>
            </w:tcMar>
          </w:tcPr>
          <w:p w:rsidR="003C0CFF" w:rsidRDefault="0094637A">
            <w:pPr>
              <w:jc w:val="center"/>
            </w:pPr>
            <w:r>
              <w:rPr>
                <w:rFonts w:cs="Arial"/>
                <w:sz w:val="20"/>
                <w:szCs w:val="20"/>
              </w:rPr>
              <w:t>Recovery</w:t>
            </w:r>
          </w:p>
        </w:tc>
      </w:tr>
      <w:tr w:rsidR="003C0CFF">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3C0CFF" w:rsidRDefault="0094637A">
            <w:pPr>
              <w:jc w:val="center"/>
            </w:pPr>
            <w:r>
              <w:rPr>
                <w:rFonts w:cs="Arial"/>
                <w:sz w:val="20"/>
                <w:szCs w:val="20"/>
              </w:rPr>
              <w:t>Operating Margin</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3C0CFF" w:rsidRDefault="0094637A">
            <w:pPr>
              <w:jc w:val="center"/>
            </w:pPr>
            <w:r>
              <w:rPr>
                <w:rFonts w:cs="Arial"/>
                <w:sz w:val="20"/>
                <w:szCs w:val="20"/>
              </w:rPr>
              <w:t>27%</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3C0CFF" w:rsidRDefault="0094637A">
            <w:pPr>
              <w:jc w:val="center"/>
            </w:pPr>
            <w:r>
              <w:rPr>
                <w:rFonts w:cs="Arial"/>
                <w:sz w:val="20"/>
                <w:szCs w:val="20"/>
              </w:rPr>
              <w:t>28%</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3C0CFF" w:rsidRDefault="0094637A">
            <w:pPr>
              <w:jc w:val="center"/>
            </w:pPr>
            <w:r>
              <w:rPr>
                <w:rFonts w:cs="Arial"/>
                <w:sz w:val="20"/>
                <w:szCs w:val="20"/>
              </w:rPr>
              <w:t>28.7%</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3C0CFF" w:rsidRDefault="0094637A">
            <w:pPr>
              <w:jc w:val="center"/>
            </w:pPr>
            <w:r>
              <w:rPr>
                <w:rFonts w:cs="Arial"/>
                <w:sz w:val="20"/>
                <w:szCs w:val="20"/>
              </w:rPr>
              <w:t xml:space="preserve">Best in 21 </w:t>
            </w:r>
            <w:proofErr w:type="spellStart"/>
            <w:r>
              <w:rPr>
                <w:rFonts w:cs="Arial"/>
                <w:sz w:val="20"/>
                <w:szCs w:val="20"/>
              </w:rPr>
              <w:t>qtrs</w:t>
            </w:r>
            <w:proofErr w:type="spellEnd"/>
          </w:p>
        </w:tc>
      </w:tr>
    </w:tbl>
    <w:p w:rsidR="003C0CFF" w:rsidRDefault="003C0CFF"/>
    <w:p w:rsidR="003C0CFF" w:rsidRPr="00EA796C" w:rsidRDefault="00EA796C">
      <w:pPr>
        <w:pStyle w:val="Heading2"/>
        <w:rPr>
          <w:color w:val="000000" w:themeColor="text1"/>
        </w:rPr>
      </w:pPr>
      <w:r w:rsidRPr="00EA796C">
        <w:rPr>
          <w:color w:val="000000" w:themeColor="text1"/>
        </w:rPr>
        <w:t>2</w:t>
      </w:r>
      <w:r w:rsidR="0094637A" w:rsidRPr="00EA796C">
        <w:rPr>
          <w:color w:val="000000" w:themeColor="text1"/>
        </w:rPr>
        <w:t>.2 Sector-Wise Revenue Performance</w:t>
      </w:r>
    </w:p>
    <w:p w:rsidR="003C0CFF" w:rsidRDefault="003C0CFF"/>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2000"/>
        <w:gridCol w:w="1960"/>
      </w:tblGrid>
      <w:tr w:rsidR="003C0CFF">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rsidR="003C0CFF" w:rsidRDefault="0094637A">
            <w:pPr>
              <w:jc w:val="center"/>
            </w:pPr>
            <w:r>
              <w:rPr>
                <w:rFonts w:cs="Arial"/>
                <w:b/>
                <w:bCs/>
                <w:color w:val="FFFFFF"/>
                <w:sz w:val="20"/>
                <w:szCs w:val="20"/>
              </w:rPr>
              <w:t>Sector</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rsidR="003C0CFF" w:rsidRDefault="0094637A">
            <w:pPr>
              <w:jc w:val="center"/>
            </w:pPr>
            <w:r>
              <w:rPr>
                <w:rFonts w:cs="Arial"/>
                <w:b/>
                <w:bCs/>
                <w:color w:val="FFFFFF"/>
                <w:sz w:val="20"/>
                <w:szCs w:val="20"/>
              </w:rPr>
              <w:t>Revenue Growth (YoY)</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rsidR="003C0CFF" w:rsidRDefault="0094637A">
            <w:pPr>
              <w:jc w:val="center"/>
            </w:pPr>
            <w:r>
              <w:rPr>
                <w:rFonts w:cs="Arial"/>
                <w:b/>
                <w:bCs/>
                <w:color w:val="FFFFFF"/>
                <w:sz w:val="20"/>
                <w:szCs w:val="20"/>
              </w:rPr>
              <w:t>PAT Growth (YoY)</w:t>
            </w:r>
          </w:p>
        </w:tc>
        <w:tc>
          <w:tcPr>
            <w:tcW w:w="19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rsidR="003C0CFF" w:rsidRDefault="0094637A">
            <w:pPr>
              <w:jc w:val="center"/>
            </w:pPr>
            <w:r>
              <w:rPr>
                <w:rFonts w:cs="Arial"/>
                <w:b/>
                <w:bCs/>
                <w:color w:val="FFFFFF"/>
                <w:sz w:val="20"/>
                <w:szCs w:val="20"/>
              </w:rPr>
              <w:t>Trend</w:t>
            </w:r>
          </w:p>
        </w:tc>
      </w:tr>
      <w:tr w:rsidR="003C0CFF">
        <w:tc>
          <w:tcPr>
            <w:tcW w:w="2400" w:type="dxa"/>
            <w:tcBorders>
              <w:top w:val="single" w:sz="1" w:space="0" w:color="AAAAAA"/>
              <w:left w:val="single" w:sz="1" w:space="0" w:color="AAAAAA"/>
              <w:bottom w:val="single" w:sz="1" w:space="0" w:color="AAAAAA"/>
              <w:right w:val="single" w:sz="1" w:space="0" w:color="AAAAAA"/>
            </w:tcBorders>
            <w:shd w:val="clear" w:color="auto" w:fill="EBF3FC"/>
            <w:tcMar>
              <w:top w:w="60" w:type="dxa"/>
              <w:left w:w="120" w:type="dxa"/>
              <w:bottom w:w="60" w:type="dxa"/>
              <w:right w:w="120" w:type="dxa"/>
            </w:tcMar>
          </w:tcPr>
          <w:p w:rsidR="003C0CFF" w:rsidRDefault="0094637A">
            <w:pPr>
              <w:jc w:val="center"/>
            </w:pPr>
            <w:r>
              <w:rPr>
                <w:rFonts w:cs="Arial"/>
                <w:sz w:val="20"/>
                <w:szCs w:val="20"/>
              </w:rPr>
              <w:t>BFSI</w:t>
            </w:r>
          </w:p>
        </w:tc>
        <w:tc>
          <w:tcPr>
            <w:tcW w:w="2000" w:type="dxa"/>
            <w:tcBorders>
              <w:top w:val="single" w:sz="1" w:space="0" w:color="AAAAAA"/>
              <w:left w:val="single" w:sz="1" w:space="0" w:color="AAAAAA"/>
              <w:bottom w:val="single" w:sz="1" w:space="0" w:color="AAAAAA"/>
              <w:right w:val="single" w:sz="1" w:space="0" w:color="AAAAAA"/>
            </w:tcBorders>
            <w:shd w:val="clear" w:color="auto" w:fill="EBF3FC"/>
            <w:tcMar>
              <w:top w:w="60" w:type="dxa"/>
              <w:left w:w="120" w:type="dxa"/>
              <w:bottom w:w="60" w:type="dxa"/>
              <w:right w:w="120" w:type="dxa"/>
            </w:tcMar>
          </w:tcPr>
          <w:p w:rsidR="003C0CFF" w:rsidRDefault="0094637A">
            <w:pPr>
              <w:jc w:val="center"/>
            </w:pPr>
            <w:r>
              <w:rPr>
                <w:rFonts w:cs="Arial"/>
                <w:sz w:val="20"/>
                <w:szCs w:val="20"/>
              </w:rPr>
              <w:t>+12–14%</w:t>
            </w:r>
          </w:p>
        </w:tc>
        <w:tc>
          <w:tcPr>
            <w:tcW w:w="2000" w:type="dxa"/>
            <w:tcBorders>
              <w:top w:val="single" w:sz="1" w:space="0" w:color="AAAAAA"/>
              <w:left w:val="single" w:sz="1" w:space="0" w:color="AAAAAA"/>
              <w:bottom w:val="single" w:sz="1" w:space="0" w:color="AAAAAA"/>
              <w:right w:val="single" w:sz="1" w:space="0" w:color="AAAAAA"/>
            </w:tcBorders>
            <w:shd w:val="clear" w:color="auto" w:fill="EBF3FC"/>
            <w:tcMar>
              <w:top w:w="60" w:type="dxa"/>
              <w:left w:w="120" w:type="dxa"/>
              <w:bottom w:w="60" w:type="dxa"/>
              <w:right w:w="120" w:type="dxa"/>
            </w:tcMar>
          </w:tcPr>
          <w:p w:rsidR="003C0CFF" w:rsidRDefault="0094637A">
            <w:pPr>
              <w:jc w:val="center"/>
            </w:pPr>
            <w:r>
              <w:rPr>
                <w:rFonts w:cs="Arial"/>
                <w:sz w:val="20"/>
                <w:szCs w:val="20"/>
              </w:rPr>
              <w:t>+20%</w:t>
            </w:r>
          </w:p>
        </w:tc>
        <w:tc>
          <w:tcPr>
            <w:tcW w:w="1960" w:type="dxa"/>
            <w:tcBorders>
              <w:top w:val="single" w:sz="1" w:space="0" w:color="AAAAAA"/>
              <w:left w:val="single" w:sz="1" w:space="0" w:color="AAAAAA"/>
              <w:bottom w:val="single" w:sz="1" w:space="0" w:color="AAAAAA"/>
              <w:right w:val="single" w:sz="1" w:space="0" w:color="AAAAAA"/>
            </w:tcBorders>
            <w:shd w:val="clear" w:color="auto" w:fill="EBF3FC"/>
            <w:tcMar>
              <w:top w:w="60" w:type="dxa"/>
              <w:left w:w="120" w:type="dxa"/>
              <w:bottom w:w="60" w:type="dxa"/>
              <w:right w:w="120" w:type="dxa"/>
            </w:tcMar>
          </w:tcPr>
          <w:p w:rsidR="003C0CFF" w:rsidRDefault="0094637A">
            <w:pPr>
              <w:jc w:val="center"/>
            </w:pPr>
            <w:r>
              <w:rPr>
                <w:rFonts w:cs="Arial"/>
                <w:sz w:val="20"/>
                <w:szCs w:val="20"/>
              </w:rPr>
              <w:t>Outperformer</w:t>
            </w:r>
          </w:p>
        </w:tc>
      </w:tr>
      <w:tr w:rsidR="003C0CFF">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3C0CFF" w:rsidRDefault="0094637A">
            <w:pPr>
              <w:jc w:val="center"/>
            </w:pPr>
            <w:r>
              <w:rPr>
                <w:rFonts w:cs="Arial"/>
                <w:sz w:val="20"/>
                <w:szCs w:val="20"/>
              </w:rPr>
              <w:t>Information Technology</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3C0CFF" w:rsidRDefault="0094637A">
            <w:pPr>
              <w:jc w:val="center"/>
            </w:pPr>
            <w:r>
              <w:rPr>
                <w:rFonts w:cs="Arial"/>
                <w:sz w:val="20"/>
                <w:szCs w:val="20"/>
              </w:rPr>
              <w:t>+5–8% (CC basis)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3C0CFF" w:rsidRDefault="0094637A">
            <w:pPr>
              <w:jc w:val="center"/>
            </w:pPr>
            <w:r>
              <w:rPr>
                <w:rFonts w:cs="Arial"/>
                <w:sz w:val="20"/>
                <w:szCs w:val="20"/>
              </w:rPr>
              <w:t>+8–12%</w:t>
            </w:r>
          </w:p>
        </w:tc>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3C0CFF" w:rsidRDefault="0094637A">
            <w:pPr>
              <w:jc w:val="center"/>
            </w:pPr>
            <w:r>
              <w:rPr>
                <w:rFonts w:cs="Arial"/>
                <w:sz w:val="20"/>
                <w:szCs w:val="20"/>
              </w:rPr>
              <w:t>Recovering</w:t>
            </w:r>
          </w:p>
        </w:tc>
      </w:tr>
      <w:tr w:rsidR="003C0CFF">
        <w:tc>
          <w:tcPr>
            <w:tcW w:w="2400" w:type="dxa"/>
            <w:tcBorders>
              <w:top w:val="single" w:sz="1" w:space="0" w:color="AAAAAA"/>
              <w:left w:val="single" w:sz="1" w:space="0" w:color="AAAAAA"/>
              <w:bottom w:val="single" w:sz="1" w:space="0" w:color="AAAAAA"/>
              <w:right w:val="single" w:sz="1" w:space="0" w:color="AAAAAA"/>
            </w:tcBorders>
            <w:shd w:val="clear" w:color="auto" w:fill="EBF3FC"/>
            <w:tcMar>
              <w:top w:w="60" w:type="dxa"/>
              <w:left w:w="120" w:type="dxa"/>
              <w:bottom w:w="60" w:type="dxa"/>
              <w:right w:w="120" w:type="dxa"/>
            </w:tcMar>
          </w:tcPr>
          <w:p w:rsidR="003C0CFF" w:rsidRDefault="0094637A">
            <w:pPr>
              <w:jc w:val="center"/>
            </w:pPr>
            <w:r>
              <w:rPr>
                <w:rFonts w:cs="Arial"/>
                <w:sz w:val="20"/>
                <w:szCs w:val="20"/>
              </w:rPr>
              <w:t>Healthcare / Pharma</w:t>
            </w:r>
          </w:p>
        </w:tc>
        <w:tc>
          <w:tcPr>
            <w:tcW w:w="2000" w:type="dxa"/>
            <w:tcBorders>
              <w:top w:val="single" w:sz="1" w:space="0" w:color="AAAAAA"/>
              <w:left w:val="single" w:sz="1" w:space="0" w:color="AAAAAA"/>
              <w:bottom w:val="single" w:sz="1" w:space="0" w:color="AAAAAA"/>
              <w:right w:val="single" w:sz="1" w:space="0" w:color="AAAAAA"/>
            </w:tcBorders>
            <w:shd w:val="clear" w:color="auto" w:fill="EBF3FC"/>
            <w:tcMar>
              <w:top w:w="60" w:type="dxa"/>
              <w:left w:w="120" w:type="dxa"/>
              <w:bottom w:w="60" w:type="dxa"/>
              <w:right w:w="120" w:type="dxa"/>
            </w:tcMar>
          </w:tcPr>
          <w:p w:rsidR="003C0CFF" w:rsidRDefault="0094637A">
            <w:pPr>
              <w:jc w:val="center"/>
            </w:pPr>
            <w:r>
              <w:rPr>
                <w:rFonts w:cs="Arial"/>
                <w:sz w:val="20"/>
                <w:szCs w:val="20"/>
              </w:rPr>
              <w:t>+10–12%</w:t>
            </w:r>
          </w:p>
        </w:tc>
        <w:tc>
          <w:tcPr>
            <w:tcW w:w="2000" w:type="dxa"/>
            <w:tcBorders>
              <w:top w:val="single" w:sz="1" w:space="0" w:color="AAAAAA"/>
              <w:left w:val="single" w:sz="1" w:space="0" w:color="AAAAAA"/>
              <w:bottom w:val="single" w:sz="1" w:space="0" w:color="AAAAAA"/>
              <w:right w:val="single" w:sz="1" w:space="0" w:color="AAAAAA"/>
            </w:tcBorders>
            <w:shd w:val="clear" w:color="auto" w:fill="EBF3FC"/>
            <w:tcMar>
              <w:top w:w="60" w:type="dxa"/>
              <w:left w:w="120" w:type="dxa"/>
              <w:bottom w:w="60" w:type="dxa"/>
              <w:right w:w="120" w:type="dxa"/>
            </w:tcMar>
          </w:tcPr>
          <w:p w:rsidR="003C0CFF" w:rsidRDefault="0094637A">
            <w:pPr>
              <w:jc w:val="center"/>
            </w:pPr>
            <w:r>
              <w:rPr>
                <w:rFonts w:cs="Arial"/>
                <w:sz w:val="20"/>
                <w:szCs w:val="20"/>
              </w:rPr>
              <w:t>+15%</w:t>
            </w:r>
          </w:p>
        </w:tc>
        <w:tc>
          <w:tcPr>
            <w:tcW w:w="1960" w:type="dxa"/>
            <w:tcBorders>
              <w:top w:val="single" w:sz="1" w:space="0" w:color="AAAAAA"/>
              <w:left w:val="single" w:sz="1" w:space="0" w:color="AAAAAA"/>
              <w:bottom w:val="single" w:sz="1" w:space="0" w:color="AAAAAA"/>
              <w:right w:val="single" w:sz="1" w:space="0" w:color="AAAAAA"/>
            </w:tcBorders>
            <w:shd w:val="clear" w:color="auto" w:fill="EBF3FC"/>
            <w:tcMar>
              <w:top w:w="60" w:type="dxa"/>
              <w:left w:w="120" w:type="dxa"/>
              <w:bottom w:w="60" w:type="dxa"/>
              <w:right w:w="120" w:type="dxa"/>
            </w:tcMar>
          </w:tcPr>
          <w:p w:rsidR="003C0CFF" w:rsidRDefault="0094637A">
            <w:pPr>
              <w:jc w:val="center"/>
            </w:pPr>
            <w:r>
              <w:rPr>
                <w:rFonts w:cs="Arial"/>
                <w:sz w:val="20"/>
                <w:szCs w:val="20"/>
              </w:rPr>
              <w:t>Strong</w:t>
            </w:r>
          </w:p>
        </w:tc>
      </w:tr>
      <w:tr w:rsidR="003C0CFF">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3C0CFF" w:rsidRDefault="0094637A">
            <w:pPr>
              <w:jc w:val="center"/>
            </w:pPr>
            <w:r>
              <w:rPr>
                <w:rFonts w:cs="Arial"/>
                <w:sz w:val="20"/>
                <w:szCs w:val="20"/>
              </w:rPr>
              <w:t>Capital Goods / Infra</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3C0CFF" w:rsidRDefault="0094637A">
            <w:pPr>
              <w:jc w:val="center"/>
            </w:pPr>
            <w:r>
              <w:rPr>
                <w:rFonts w:cs="Arial"/>
                <w:sz w:val="20"/>
                <w:szCs w:val="20"/>
              </w:rPr>
              <w:t>+12–15%</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3C0CFF" w:rsidRDefault="0094637A">
            <w:pPr>
              <w:jc w:val="center"/>
            </w:pPr>
            <w:r>
              <w:rPr>
                <w:rFonts w:cs="Arial"/>
                <w:sz w:val="20"/>
                <w:szCs w:val="20"/>
              </w:rPr>
              <w:t>+18%</w:t>
            </w:r>
          </w:p>
        </w:tc>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3C0CFF" w:rsidRDefault="0094637A">
            <w:pPr>
              <w:jc w:val="center"/>
            </w:pPr>
            <w:r>
              <w:rPr>
                <w:rFonts w:cs="Arial"/>
                <w:sz w:val="20"/>
                <w:szCs w:val="20"/>
              </w:rPr>
              <w:t>Government-led</w:t>
            </w:r>
          </w:p>
        </w:tc>
      </w:tr>
      <w:tr w:rsidR="003C0CFF">
        <w:tc>
          <w:tcPr>
            <w:tcW w:w="2400" w:type="dxa"/>
            <w:tcBorders>
              <w:top w:val="single" w:sz="1" w:space="0" w:color="AAAAAA"/>
              <w:left w:val="single" w:sz="1" w:space="0" w:color="AAAAAA"/>
              <w:bottom w:val="single" w:sz="1" w:space="0" w:color="AAAAAA"/>
              <w:right w:val="single" w:sz="1" w:space="0" w:color="AAAAAA"/>
            </w:tcBorders>
            <w:shd w:val="clear" w:color="auto" w:fill="EBF3FC"/>
            <w:tcMar>
              <w:top w:w="60" w:type="dxa"/>
              <w:left w:w="120" w:type="dxa"/>
              <w:bottom w:w="60" w:type="dxa"/>
              <w:right w:w="120" w:type="dxa"/>
            </w:tcMar>
          </w:tcPr>
          <w:p w:rsidR="003C0CFF" w:rsidRDefault="0094637A">
            <w:pPr>
              <w:jc w:val="center"/>
            </w:pPr>
            <w:r>
              <w:rPr>
                <w:rFonts w:cs="Arial"/>
                <w:sz w:val="20"/>
                <w:szCs w:val="20"/>
              </w:rPr>
              <w:t>FMCG / Consumer</w:t>
            </w:r>
          </w:p>
        </w:tc>
        <w:tc>
          <w:tcPr>
            <w:tcW w:w="2000" w:type="dxa"/>
            <w:tcBorders>
              <w:top w:val="single" w:sz="1" w:space="0" w:color="AAAAAA"/>
              <w:left w:val="single" w:sz="1" w:space="0" w:color="AAAAAA"/>
              <w:bottom w:val="single" w:sz="1" w:space="0" w:color="AAAAAA"/>
              <w:right w:val="single" w:sz="1" w:space="0" w:color="AAAAAA"/>
            </w:tcBorders>
            <w:shd w:val="clear" w:color="auto" w:fill="EBF3FC"/>
            <w:tcMar>
              <w:top w:w="60" w:type="dxa"/>
              <w:left w:w="120" w:type="dxa"/>
              <w:bottom w:w="60" w:type="dxa"/>
              <w:right w:w="120" w:type="dxa"/>
            </w:tcMar>
          </w:tcPr>
          <w:p w:rsidR="003C0CFF" w:rsidRDefault="0094637A">
            <w:pPr>
              <w:jc w:val="center"/>
            </w:pPr>
            <w:r>
              <w:rPr>
                <w:rFonts w:cs="Arial"/>
                <w:sz w:val="20"/>
                <w:szCs w:val="20"/>
              </w:rPr>
              <w:t>+4–6%</w:t>
            </w:r>
          </w:p>
        </w:tc>
        <w:tc>
          <w:tcPr>
            <w:tcW w:w="2000" w:type="dxa"/>
            <w:tcBorders>
              <w:top w:val="single" w:sz="1" w:space="0" w:color="AAAAAA"/>
              <w:left w:val="single" w:sz="1" w:space="0" w:color="AAAAAA"/>
              <w:bottom w:val="single" w:sz="1" w:space="0" w:color="AAAAAA"/>
              <w:right w:val="single" w:sz="1" w:space="0" w:color="AAAAAA"/>
            </w:tcBorders>
            <w:shd w:val="clear" w:color="auto" w:fill="EBF3FC"/>
            <w:tcMar>
              <w:top w:w="60" w:type="dxa"/>
              <w:left w:w="120" w:type="dxa"/>
              <w:bottom w:w="60" w:type="dxa"/>
              <w:right w:w="120" w:type="dxa"/>
            </w:tcMar>
          </w:tcPr>
          <w:p w:rsidR="003C0CFF" w:rsidRDefault="0094637A">
            <w:pPr>
              <w:jc w:val="center"/>
            </w:pPr>
            <w:r>
              <w:rPr>
                <w:rFonts w:cs="Arial"/>
                <w:sz w:val="20"/>
                <w:szCs w:val="20"/>
              </w:rPr>
              <w:t>+5–8%</w:t>
            </w:r>
          </w:p>
        </w:tc>
        <w:tc>
          <w:tcPr>
            <w:tcW w:w="1960" w:type="dxa"/>
            <w:tcBorders>
              <w:top w:val="single" w:sz="1" w:space="0" w:color="AAAAAA"/>
              <w:left w:val="single" w:sz="1" w:space="0" w:color="AAAAAA"/>
              <w:bottom w:val="single" w:sz="1" w:space="0" w:color="AAAAAA"/>
              <w:right w:val="single" w:sz="1" w:space="0" w:color="AAAAAA"/>
            </w:tcBorders>
            <w:shd w:val="clear" w:color="auto" w:fill="EBF3FC"/>
            <w:tcMar>
              <w:top w:w="60" w:type="dxa"/>
              <w:left w:w="120" w:type="dxa"/>
              <w:bottom w:w="60" w:type="dxa"/>
              <w:right w:w="120" w:type="dxa"/>
            </w:tcMar>
          </w:tcPr>
          <w:p w:rsidR="003C0CFF" w:rsidRDefault="0094637A">
            <w:pPr>
              <w:jc w:val="center"/>
            </w:pPr>
            <w:r>
              <w:rPr>
                <w:rFonts w:cs="Arial"/>
                <w:sz w:val="20"/>
                <w:szCs w:val="20"/>
              </w:rPr>
              <w:t>Muted urban demand</w:t>
            </w:r>
          </w:p>
        </w:tc>
      </w:tr>
      <w:tr w:rsidR="003C0CFF">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3C0CFF" w:rsidRDefault="0094637A">
            <w:pPr>
              <w:jc w:val="center"/>
            </w:pPr>
            <w:r>
              <w:rPr>
                <w:rFonts w:cs="Arial"/>
                <w:sz w:val="20"/>
                <w:szCs w:val="20"/>
              </w:rPr>
              <w:t>Automobiles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3C0CFF" w:rsidRDefault="0094637A">
            <w:pPr>
              <w:jc w:val="center"/>
            </w:pPr>
            <w:r>
              <w:rPr>
                <w:rFonts w:cs="Arial"/>
                <w:sz w:val="20"/>
                <w:szCs w:val="20"/>
              </w:rPr>
              <w:t>+3–5%</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3C0CFF" w:rsidRDefault="0094637A">
            <w:pPr>
              <w:jc w:val="center"/>
            </w:pPr>
            <w:r>
              <w:rPr>
                <w:rFonts w:cs="Arial"/>
                <w:sz w:val="20"/>
                <w:szCs w:val="20"/>
              </w:rPr>
              <w:t>Decline</w:t>
            </w:r>
          </w:p>
        </w:tc>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3C0CFF" w:rsidRDefault="0094637A">
            <w:pPr>
              <w:jc w:val="center"/>
            </w:pPr>
            <w:r>
              <w:rPr>
                <w:rFonts w:cs="Arial"/>
                <w:sz w:val="20"/>
                <w:szCs w:val="20"/>
              </w:rPr>
              <w:t>Weak</w:t>
            </w:r>
          </w:p>
        </w:tc>
      </w:tr>
      <w:tr w:rsidR="003C0CFF">
        <w:tc>
          <w:tcPr>
            <w:tcW w:w="2400" w:type="dxa"/>
            <w:tcBorders>
              <w:top w:val="single" w:sz="1" w:space="0" w:color="AAAAAA"/>
              <w:left w:val="single" w:sz="1" w:space="0" w:color="AAAAAA"/>
              <w:bottom w:val="single" w:sz="1" w:space="0" w:color="AAAAAA"/>
              <w:right w:val="single" w:sz="1" w:space="0" w:color="AAAAAA"/>
            </w:tcBorders>
            <w:shd w:val="clear" w:color="auto" w:fill="EBF3FC"/>
            <w:tcMar>
              <w:top w:w="60" w:type="dxa"/>
              <w:left w:w="120" w:type="dxa"/>
              <w:bottom w:w="60" w:type="dxa"/>
              <w:right w:w="120" w:type="dxa"/>
            </w:tcMar>
          </w:tcPr>
          <w:p w:rsidR="003C0CFF" w:rsidRDefault="0094637A">
            <w:pPr>
              <w:jc w:val="center"/>
            </w:pPr>
            <w:r>
              <w:rPr>
                <w:rFonts w:cs="Arial"/>
                <w:sz w:val="20"/>
                <w:szCs w:val="20"/>
              </w:rPr>
              <w:t>Oil &amp; Gas</w:t>
            </w:r>
          </w:p>
        </w:tc>
        <w:tc>
          <w:tcPr>
            <w:tcW w:w="2000" w:type="dxa"/>
            <w:tcBorders>
              <w:top w:val="single" w:sz="1" w:space="0" w:color="AAAAAA"/>
              <w:left w:val="single" w:sz="1" w:space="0" w:color="AAAAAA"/>
              <w:bottom w:val="single" w:sz="1" w:space="0" w:color="AAAAAA"/>
              <w:right w:val="single" w:sz="1" w:space="0" w:color="AAAAAA"/>
            </w:tcBorders>
            <w:shd w:val="clear" w:color="auto" w:fill="EBF3FC"/>
            <w:tcMar>
              <w:top w:w="60" w:type="dxa"/>
              <w:left w:w="120" w:type="dxa"/>
              <w:bottom w:w="60" w:type="dxa"/>
              <w:right w:w="120" w:type="dxa"/>
            </w:tcMar>
          </w:tcPr>
          <w:p w:rsidR="003C0CFF" w:rsidRDefault="0094637A">
            <w:pPr>
              <w:jc w:val="center"/>
            </w:pPr>
            <w:r>
              <w:rPr>
                <w:rFonts w:cs="Arial"/>
                <w:sz w:val="20"/>
                <w:szCs w:val="20"/>
              </w:rPr>
              <w:t>+5–7%</w:t>
            </w:r>
          </w:p>
        </w:tc>
        <w:tc>
          <w:tcPr>
            <w:tcW w:w="2000" w:type="dxa"/>
            <w:tcBorders>
              <w:top w:val="single" w:sz="1" w:space="0" w:color="AAAAAA"/>
              <w:left w:val="single" w:sz="1" w:space="0" w:color="AAAAAA"/>
              <w:bottom w:val="single" w:sz="1" w:space="0" w:color="AAAAAA"/>
              <w:right w:val="single" w:sz="1" w:space="0" w:color="AAAAAA"/>
            </w:tcBorders>
            <w:shd w:val="clear" w:color="auto" w:fill="EBF3FC"/>
            <w:tcMar>
              <w:top w:w="60" w:type="dxa"/>
              <w:left w:w="120" w:type="dxa"/>
              <w:bottom w:w="60" w:type="dxa"/>
              <w:right w:w="120" w:type="dxa"/>
            </w:tcMar>
          </w:tcPr>
          <w:p w:rsidR="003C0CFF" w:rsidRDefault="0094637A">
            <w:pPr>
              <w:jc w:val="center"/>
            </w:pPr>
            <w:r>
              <w:rPr>
                <w:rFonts w:cs="Arial"/>
                <w:sz w:val="20"/>
                <w:szCs w:val="20"/>
              </w:rPr>
              <w:t>Flat to decline</w:t>
            </w:r>
          </w:p>
        </w:tc>
        <w:tc>
          <w:tcPr>
            <w:tcW w:w="1960" w:type="dxa"/>
            <w:tcBorders>
              <w:top w:val="single" w:sz="1" w:space="0" w:color="AAAAAA"/>
              <w:left w:val="single" w:sz="1" w:space="0" w:color="AAAAAA"/>
              <w:bottom w:val="single" w:sz="1" w:space="0" w:color="AAAAAA"/>
              <w:right w:val="single" w:sz="1" w:space="0" w:color="AAAAAA"/>
            </w:tcBorders>
            <w:shd w:val="clear" w:color="auto" w:fill="EBF3FC"/>
            <w:tcMar>
              <w:top w:w="60" w:type="dxa"/>
              <w:left w:w="120" w:type="dxa"/>
              <w:bottom w:w="60" w:type="dxa"/>
              <w:right w:w="120" w:type="dxa"/>
            </w:tcMar>
          </w:tcPr>
          <w:p w:rsidR="003C0CFF" w:rsidRDefault="0094637A">
            <w:pPr>
              <w:jc w:val="center"/>
            </w:pPr>
            <w:r>
              <w:rPr>
                <w:rFonts w:cs="Arial"/>
                <w:sz w:val="20"/>
                <w:szCs w:val="20"/>
              </w:rPr>
              <w:t>Margin pressure</w:t>
            </w:r>
          </w:p>
        </w:tc>
      </w:tr>
      <w:tr w:rsidR="003C0CFF">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3C0CFF" w:rsidRDefault="0094637A">
            <w:pPr>
              <w:jc w:val="center"/>
            </w:pPr>
            <w:r>
              <w:rPr>
                <w:rFonts w:cs="Arial"/>
                <w:sz w:val="20"/>
                <w:szCs w:val="20"/>
              </w:rPr>
              <w:t>Cement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3C0CFF" w:rsidRDefault="0094637A">
            <w:pPr>
              <w:jc w:val="center"/>
            </w:pPr>
            <w:r>
              <w:rPr>
                <w:rFonts w:cs="Arial"/>
                <w:sz w:val="20"/>
                <w:szCs w:val="20"/>
              </w:rPr>
              <w:t>+2–4%</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3C0CFF" w:rsidRDefault="0094637A">
            <w:pPr>
              <w:jc w:val="center"/>
            </w:pPr>
            <w:r>
              <w:rPr>
                <w:rFonts w:cs="Arial"/>
                <w:sz w:val="20"/>
                <w:szCs w:val="20"/>
              </w:rPr>
              <w:t>Decline</w:t>
            </w:r>
          </w:p>
        </w:tc>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3C0CFF" w:rsidRDefault="0094637A">
            <w:pPr>
              <w:jc w:val="center"/>
            </w:pPr>
            <w:r>
              <w:rPr>
                <w:rFonts w:cs="Arial"/>
                <w:sz w:val="20"/>
                <w:szCs w:val="20"/>
              </w:rPr>
              <w:t>Laggard</w:t>
            </w:r>
          </w:p>
        </w:tc>
      </w:tr>
      <w:tr w:rsidR="003C0CFF">
        <w:tc>
          <w:tcPr>
            <w:tcW w:w="2400" w:type="dxa"/>
            <w:tcBorders>
              <w:top w:val="single" w:sz="1" w:space="0" w:color="AAAAAA"/>
              <w:left w:val="single" w:sz="1" w:space="0" w:color="AAAAAA"/>
              <w:bottom w:val="single" w:sz="1" w:space="0" w:color="AAAAAA"/>
              <w:right w:val="single" w:sz="1" w:space="0" w:color="AAAAAA"/>
            </w:tcBorders>
            <w:shd w:val="clear" w:color="auto" w:fill="EBF3FC"/>
            <w:tcMar>
              <w:top w:w="60" w:type="dxa"/>
              <w:left w:w="120" w:type="dxa"/>
              <w:bottom w:w="60" w:type="dxa"/>
              <w:right w:w="120" w:type="dxa"/>
            </w:tcMar>
          </w:tcPr>
          <w:p w:rsidR="003C0CFF" w:rsidRDefault="0094637A">
            <w:pPr>
              <w:jc w:val="center"/>
            </w:pPr>
            <w:r>
              <w:rPr>
                <w:rFonts w:cs="Arial"/>
                <w:sz w:val="20"/>
                <w:szCs w:val="20"/>
              </w:rPr>
              <w:t>Real Estate / Telecom</w:t>
            </w:r>
          </w:p>
        </w:tc>
        <w:tc>
          <w:tcPr>
            <w:tcW w:w="2000" w:type="dxa"/>
            <w:tcBorders>
              <w:top w:val="single" w:sz="1" w:space="0" w:color="AAAAAA"/>
              <w:left w:val="single" w:sz="1" w:space="0" w:color="AAAAAA"/>
              <w:bottom w:val="single" w:sz="1" w:space="0" w:color="AAAAAA"/>
              <w:right w:val="single" w:sz="1" w:space="0" w:color="AAAAAA"/>
            </w:tcBorders>
            <w:shd w:val="clear" w:color="auto" w:fill="EBF3FC"/>
            <w:tcMar>
              <w:top w:w="60" w:type="dxa"/>
              <w:left w:w="120" w:type="dxa"/>
              <w:bottom w:w="60" w:type="dxa"/>
              <w:right w:w="120" w:type="dxa"/>
            </w:tcMar>
          </w:tcPr>
          <w:p w:rsidR="003C0CFF" w:rsidRDefault="0094637A">
            <w:pPr>
              <w:jc w:val="center"/>
            </w:pPr>
            <w:r>
              <w:rPr>
                <w:rFonts w:cs="Arial"/>
                <w:sz w:val="20"/>
                <w:szCs w:val="20"/>
              </w:rPr>
              <w:t>+10–15%</w:t>
            </w:r>
          </w:p>
        </w:tc>
        <w:tc>
          <w:tcPr>
            <w:tcW w:w="2000" w:type="dxa"/>
            <w:tcBorders>
              <w:top w:val="single" w:sz="1" w:space="0" w:color="AAAAAA"/>
              <w:left w:val="single" w:sz="1" w:space="0" w:color="AAAAAA"/>
              <w:bottom w:val="single" w:sz="1" w:space="0" w:color="AAAAAA"/>
              <w:right w:val="single" w:sz="1" w:space="0" w:color="AAAAAA"/>
            </w:tcBorders>
            <w:shd w:val="clear" w:color="auto" w:fill="EBF3FC"/>
            <w:tcMar>
              <w:top w:w="60" w:type="dxa"/>
              <w:left w:w="120" w:type="dxa"/>
              <w:bottom w:w="60" w:type="dxa"/>
              <w:right w:w="120" w:type="dxa"/>
            </w:tcMar>
          </w:tcPr>
          <w:p w:rsidR="003C0CFF" w:rsidRDefault="0094637A">
            <w:pPr>
              <w:jc w:val="center"/>
            </w:pPr>
            <w:r>
              <w:rPr>
                <w:rFonts w:cs="Arial"/>
                <w:sz w:val="20"/>
                <w:szCs w:val="20"/>
              </w:rPr>
              <w:t>+15–20%</w:t>
            </w:r>
          </w:p>
        </w:tc>
        <w:tc>
          <w:tcPr>
            <w:tcW w:w="1960" w:type="dxa"/>
            <w:tcBorders>
              <w:top w:val="single" w:sz="1" w:space="0" w:color="AAAAAA"/>
              <w:left w:val="single" w:sz="1" w:space="0" w:color="AAAAAA"/>
              <w:bottom w:val="single" w:sz="1" w:space="0" w:color="AAAAAA"/>
              <w:right w:val="single" w:sz="1" w:space="0" w:color="AAAAAA"/>
            </w:tcBorders>
            <w:shd w:val="clear" w:color="auto" w:fill="EBF3FC"/>
            <w:tcMar>
              <w:top w:w="60" w:type="dxa"/>
              <w:left w:w="120" w:type="dxa"/>
              <w:bottom w:w="60" w:type="dxa"/>
              <w:right w:w="120" w:type="dxa"/>
            </w:tcMar>
          </w:tcPr>
          <w:p w:rsidR="003C0CFF" w:rsidRDefault="0094637A">
            <w:pPr>
              <w:jc w:val="center"/>
            </w:pPr>
            <w:r>
              <w:rPr>
                <w:rFonts w:cs="Arial"/>
                <w:sz w:val="20"/>
                <w:szCs w:val="20"/>
              </w:rPr>
              <w:t>Strong</w:t>
            </w:r>
          </w:p>
        </w:tc>
      </w:tr>
    </w:tbl>
    <w:p w:rsidR="003C0CFF" w:rsidRDefault="003C0CFF"/>
    <w:p w:rsidR="003C0CFF" w:rsidRPr="00EA796C" w:rsidRDefault="00EA796C">
      <w:pPr>
        <w:pStyle w:val="Heading2"/>
        <w:rPr>
          <w:color w:val="000000" w:themeColor="text1"/>
        </w:rPr>
      </w:pPr>
      <w:r w:rsidRPr="00EA796C">
        <w:rPr>
          <w:color w:val="000000" w:themeColor="text1"/>
        </w:rPr>
        <w:t>2</w:t>
      </w:r>
      <w:r w:rsidR="0094637A" w:rsidRPr="00EA796C">
        <w:rPr>
          <w:color w:val="000000" w:themeColor="text1"/>
        </w:rPr>
        <w:t>.3 Key Company Results</w:t>
      </w:r>
    </w:p>
    <w:p w:rsidR="003C0CFF" w:rsidRDefault="0094637A">
      <w:pPr>
        <w:spacing w:before="80" w:after="80"/>
        <w:jc w:val="both"/>
      </w:pPr>
      <w:r w:rsidRPr="00A04FC8">
        <w:rPr>
          <w:rFonts w:cs="Arial"/>
          <w:b/>
          <w:bCs/>
        </w:rPr>
        <w:t>RELIANCE INDUSTRIES (Q3 FY25):</w:t>
      </w:r>
      <w:r>
        <w:rPr>
          <w:rFonts w:cs="Arial"/>
        </w:rPr>
        <w:t xml:space="preserve"> Revenue ₹2,67,186 crore (+7.7% YoY). Consolidated EBITDA ₹48,003 crore (+7.8% YoY), with an EBITDA margin of 18%. PAT ₹21,930 crore (+11.7% YoY). Growth was driven by </w:t>
      </w:r>
      <w:proofErr w:type="spellStart"/>
      <w:r>
        <w:rPr>
          <w:rFonts w:cs="Arial"/>
        </w:rPr>
        <w:t>Jio</w:t>
      </w:r>
      <w:proofErr w:type="spellEnd"/>
      <w:r>
        <w:rPr>
          <w:rFonts w:cs="Arial"/>
        </w:rPr>
        <w:t xml:space="preserve"> (revenue +15.5% YoY, EBITDA +17.7% YoY, ARPU ₹203.3) and </w:t>
      </w:r>
      <w:r>
        <w:rPr>
          <w:rFonts w:cs="Arial"/>
        </w:rPr>
        <w:lastRenderedPageBreak/>
        <w:t>Reliance Retail (revenue +8.8% YoY). The Oil-to-Chemicals (O2C) segment saw only 2.4% EBITDA growth due to compressed refining margins globally.</w:t>
      </w:r>
    </w:p>
    <w:p w:rsidR="003C0CFF" w:rsidRDefault="0094637A">
      <w:pPr>
        <w:spacing w:before="80" w:after="80"/>
        <w:jc w:val="both"/>
      </w:pPr>
      <w:r w:rsidRPr="00A04FC8">
        <w:rPr>
          <w:rFonts w:cs="Arial"/>
          <w:b/>
          <w:bCs/>
        </w:rPr>
        <w:t>HDFC BANK (Q3 FY25):</w:t>
      </w:r>
      <w:r>
        <w:rPr>
          <w:rFonts w:cs="Arial"/>
        </w:rPr>
        <w:t xml:space="preserve"> Net profit ₹16,735 crore (+2.2% YoY) — the weakest PAT growth in several quarters. NII ₹30,650 crore (+7.7% YoY). NIM at 3.43% (on total assets), lower than 3.70% a year ago, as deposit repricing costs rose faster than loan yields. Gross NPA ratio edged up to 1.42% from 1.26% a year earlier — a modest but watched deterioration. Gross advances grew only 3% YoY vs 15–20% deposit growth, showing deliberate credit caution.</w:t>
      </w:r>
    </w:p>
    <w:p w:rsidR="003C0CFF" w:rsidRDefault="0094637A">
      <w:pPr>
        <w:spacing w:before="80" w:after="80"/>
        <w:jc w:val="both"/>
      </w:pPr>
      <w:r w:rsidRPr="00A04FC8">
        <w:rPr>
          <w:rFonts w:cs="Arial"/>
          <w:b/>
          <w:bCs/>
        </w:rPr>
        <w:t>INFOSYS (Q3 FY25):</w:t>
      </w:r>
      <w:r>
        <w:rPr>
          <w:rFonts w:cs="Arial"/>
        </w:rPr>
        <w:t xml:space="preserve"> Revenue $4,939 million, +6.1% YoY in constant currency and +1.7% </w:t>
      </w:r>
      <w:proofErr w:type="spellStart"/>
      <w:r>
        <w:rPr>
          <w:rFonts w:cs="Arial"/>
        </w:rPr>
        <w:t>QoQ</w:t>
      </w:r>
      <w:proofErr w:type="spellEnd"/>
      <w:r>
        <w:rPr>
          <w:rFonts w:cs="Arial"/>
        </w:rPr>
        <w:t xml:space="preserve"> — a strong sequential result in a seasonally soft quarter. Operating margin 21.3% (+0.8% YoY). EPS ₹16.43 (+11.4% YoY). Free cash flow ₹10,647 crore (+91.9% YoY) — highest ever quarterly FCF. Large deal TCV $2.5 billion (63% net new). FY25 revenue guidance raised to 4.5–5.0% constant currency.</w:t>
      </w:r>
    </w:p>
    <w:p w:rsidR="003C0CFF" w:rsidRDefault="0094637A">
      <w:pPr>
        <w:spacing w:before="80" w:after="80"/>
        <w:jc w:val="both"/>
      </w:pPr>
      <w:r w:rsidRPr="00A04FC8">
        <w:rPr>
          <w:rFonts w:cs="Arial"/>
          <w:b/>
          <w:bCs/>
        </w:rPr>
        <w:t>TCS (Q3 FY25):</w:t>
      </w:r>
      <w:r>
        <w:rPr>
          <w:rFonts w:cs="Arial"/>
        </w:rPr>
        <w:t xml:space="preserve"> Revenue </w:t>
      </w:r>
      <w:proofErr w:type="spellStart"/>
      <w:r>
        <w:rPr>
          <w:rFonts w:cs="Arial"/>
        </w:rPr>
        <w:t>QoQ</w:t>
      </w:r>
      <w:proofErr w:type="spellEnd"/>
      <w:r>
        <w:rPr>
          <w:rFonts w:cs="Arial"/>
        </w:rPr>
        <w:t xml:space="preserve"> growth 0.9%, YoY growth 5.9%. Financial Services remained the largest vertical (27.8% of revenue). North America contributed 58.4% of revenues, with CC growth of 4.8% YoY. Deal wins remained healthy but below Infosys pace. Key vertical Manufacturing grew 12.2% in CC terms YoY, while Retail declined.</w:t>
      </w:r>
    </w:p>
    <w:p w:rsidR="003C0CFF" w:rsidRDefault="0094637A">
      <w:pPr>
        <w:spacing w:before="80" w:after="80"/>
        <w:jc w:val="both"/>
      </w:pPr>
      <w:r w:rsidRPr="00A04FC8">
        <w:rPr>
          <w:rFonts w:cs="Arial"/>
          <w:b/>
          <w:bCs/>
        </w:rPr>
        <w:t>ITC LIMITED (Q3 FY25):</w:t>
      </w:r>
      <w:r>
        <w:rPr>
          <w:rFonts w:cs="Arial"/>
        </w:rPr>
        <w:t xml:space="preserve"> Revenue from operations ₹18,290 crore vs ₹16,864 crore in Q3 FY24, a growth of ~8.5% YoY. FMCG-Cigarettes segment remained the dominant earnings driver with segment results of ₹5,024 </w:t>
      </w:r>
      <w:proofErr w:type="gramStart"/>
      <w:r>
        <w:rPr>
          <w:rFonts w:cs="Arial"/>
        </w:rPr>
        <w:t>crore</w:t>
      </w:r>
      <w:proofErr w:type="gramEnd"/>
      <w:r>
        <w:rPr>
          <w:rFonts w:cs="Arial"/>
        </w:rPr>
        <w:t xml:space="preserve"> for 9-months FY25. The demerger of the Hotels Business into ITC Hotels Limited was approved by NCLT, with the Effective Date set at 1 January 2025. ITC declared an interim dividend of ₹6.50 per share for FY25.</w:t>
      </w:r>
    </w:p>
    <w:p w:rsidR="003C0CFF" w:rsidRDefault="003C0CFF"/>
    <w:p w:rsidR="003C0CFF" w:rsidRPr="00EA796C" w:rsidRDefault="00EA796C">
      <w:pPr>
        <w:pStyle w:val="Heading1"/>
        <w:pBdr>
          <w:bottom w:val="single" w:sz="6" w:space="1" w:color="1F3864"/>
        </w:pBdr>
        <w:rPr>
          <w:color w:val="000000" w:themeColor="text1"/>
        </w:rPr>
      </w:pPr>
      <w:r w:rsidRPr="00EA796C">
        <w:rPr>
          <w:color w:val="000000" w:themeColor="text1"/>
        </w:rPr>
        <w:t>3</w:t>
      </w:r>
      <w:r w:rsidR="0094637A" w:rsidRPr="00EA796C">
        <w:rPr>
          <w:color w:val="000000" w:themeColor="text1"/>
        </w:rPr>
        <w:t>. Causes and Contradictory Factors</w:t>
      </w:r>
    </w:p>
    <w:p w:rsidR="003C0CFF" w:rsidRPr="00EA796C" w:rsidRDefault="00EA796C">
      <w:pPr>
        <w:pStyle w:val="Heading2"/>
        <w:rPr>
          <w:color w:val="000000" w:themeColor="text1"/>
        </w:rPr>
      </w:pPr>
      <w:r w:rsidRPr="00EA796C">
        <w:rPr>
          <w:color w:val="000000" w:themeColor="text1"/>
        </w:rPr>
        <w:t>3</w:t>
      </w:r>
      <w:r w:rsidR="0094637A" w:rsidRPr="00EA796C">
        <w:rPr>
          <w:color w:val="000000" w:themeColor="text1"/>
        </w:rPr>
        <w:t>.1 Why Earnings Slowed</w:t>
      </w:r>
    </w:p>
    <w:p w:rsidR="003C0CFF" w:rsidRDefault="0094637A">
      <w:pPr>
        <w:spacing w:before="80" w:after="80"/>
        <w:jc w:val="both"/>
      </w:pPr>
      <w:r>
        <w:rPr>
          <w:rFonts w:cs="Arial"/>
        </w:rPr>
        <w:t>The fundamental reason for the earnings growth deceleration is a demand mismatch between urban and rural India. Urban consumption — which drives volumes for FMCG, automobiles, and discretionary spending — remained subdued, particularly in the first half of FY25. Real wage growth in formal urban employment lagged inflation, squeezing discretionary budgets.</w:t>
      </w:r>
    </w:p>
    <w:p w:rsidR="003C0CFF" w:rsidRDefault="0094637A">
      <w:pPr>
        <w:spacing w:before="80" w:after="80"/>
        <w:jc w:val="both"/>
      </w:pPr>
      <w:r>
        <w:rPr>
          <w:rFonts w:cs="Arial"/>
        </w:rPr>
        <w:t>Global headwinds added pressure. Weak global IT spending recovery, compressed refining margins (hurting Reliance's O2C segment), and a strong rupee created margin pressure for export-oriented sectors. The slowdown in Chinese manufacturing was a mixed signal — it helped domestic manufacturers compete, but also dampened demand for Indian inputs.</w:t>
      </w:r>
    </w:p>
    <w:p w:rsidR="003C0CFF" w:rsidRDefault="0094637A">
      <w:pPr>
        <w:spacing w:before="80" w:after="80"/>
        <w:jc w:val="both"/>
      </w:pPr>
      <w:r>
        <w:rPr>
          <w:rFonts w:cs="Arial"/>
        </w:rPr>
        <w:t>Higher input costs persisted through most of FY25. Food inflation exceeded 7% for much of the year, compressing FMCG consumption and raising wage demands. For banks, deposit competition intensified, raising the cost of funds and squeezing NIMs across the sector.</w:t>
      </w:r>
    </w:p>
    <w:p w:rsidR="003C0CFF" w:rsidRPr="00EA796C" w:rsidRDefault="00EA796C">
      <w:pPr>
        <w:pStyle w:val="Heading2"/>
        <w:rPr>
          <w:color w:val="000000" w:themeColor="text1"/>
        </w:rPr>
      </w:pPr>
      <w:r w:rsidRPr="00EA796C">
        <w:rPr>
          <w:color w:val="000000" w:themeColor="text1"/>
        </w:rPr>
        <w:t>3.</w:t>
      </w:r>
      <w:r w:rsidR="0094637A" w:rsidRPr="00EA796C">
        <w:rPr>
          <w:color w:val="000000" w:themeColor="text1"/>
        </w:rPr>
        <w:t>2 Key Policy Actions Affecting Earnings</w:t>
      </w:r>
    </w:p>
    <w:p w:rsidR="003C0CFF" w:rsidRDefault="0094637A">
      <w:pPr>
        <w:spacing w:before="80" w:after="80"/>
        <w:jc w:val="both"/>
      </w:pPr>
      <w:r>
        <w:rPr>
          <w:rFonts w:cs="Arial"/>
        </w:rPr>
        <w:t>The most important policy backdrop was the RBI's shift from a prolonged hold to an easing cycle. After keeping the repo rate at 6.5% for 11 consecutive meetings, the MPC cut rates by 25 bps to 6.25% in February 2025 and then by a further 25 bps to 6.00% in April 2025. This was driven by CPI inflation falling consistently, with headline CPI touching 3.5% by April 2025 — below the 4% target for the first time since early FY23.</w:t>
      </w:r>
    </w:p>
    <w:p w:rsidR="003C0CFF" w:rsidRDefault="0094637A">
      <w:pPr>
        <w:spacing w:before="80" w:after="80"/>
        <w:jc w:val="both"/>
      </w:pPr>
      <w:r>
        <w:rPr>
          <w:rFonts w:cs="Arial"/>
        </w:rPr>
        <w:t>The government's fiscal approach was broadly supportive. Union capex of ₹10.18 lakh crore was budgeted for FY25, growing 17% over FY24. Post-elections, capex picked up 8.2% YoY during July–November 2024. This directly benefited capital goods, cement, steel, and infrastructure companies, even as consumer demand was weak.</w:t>
      </w:r>
    </w:p>
    <w:p w:rsidR="003C0CFF" w:rsidRDefault="0094637A">
      <w:pPr>
        <w:spacing w:before="80" w:after="80"/>
        <w:jc w:val="both"/>
      </w:pPr>
      <w:r>
        <w:rPr>
          <w:rFonts w:cs="Arial"/>
        </w:rPr>
        <w:lastRenderedPageBreak/>
        <w:t>The Production Linked Incentive (PLI) scheme continued to catalyse manufacturing. By November 2024, committed investments under PLI had reached ₹1.61 lakh crore across 14 sectors (electronics, pharma, textiles, auto-components, etc.), generating direct and indirect employment of over 8.5 lakh. PLI-linked production in electronics hit ₹5.25 lakh crore in FY25, a 146% rise from FY21. This explains the strong performance of IT hardware and semiconductor-adjacent sectors.</w:t>
      </w:r>
    </w:p>
    <w:p w:rsidR="003C0CFF" w:rsidRDefault="0094637A">
      <w:pPr>
        <w:spacing w:before="80" w:after="80"/>
        <w:jc w:val="both"/>
      </w:pPr>
      <w:r>
        <w:rPr>
          <w:rFonts w:cs="Arial"/>
        </w:rPr>
        <w:t>On the contradictory side, the RBI's tight liquidity conditions in Q3 FY25 (before the easing cycle) raised short-term rates and widened corporate bond spreads. Banks faced funding costs that stayed elevated even as loan pricing was under pressure from competition. HDFC Bank's NIM compression to 3.43% directly reflects this tension.</w:t>
      </w:r>
    </w:p>
    <w:p w:rsidR="003C0CFF" w:rsidRDefault="003C0CFF"/>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3360"/>
      </w:tblGrid>
      <w:tr w:rsidR="003C0CFF">
        <w:tc>
          <w:tcPr>
            <w:tcW w:w="2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rsidR="003C0CFF" w:rsidRDefault="0094637A">
            <w:pPr>
              <w:jc w:val="center"/>
            </w:pPr>
            <w:r>
              <w:rPr>
                <w:rFonts w:cs="Arial"/>
                <w:b/>
                <w:bCs/>
                <w:color w:val="FFFFFF"/>
                <w:sz w:val="20"/>
                <w:szCs w:val="20"/>
              </w:rPr>
              <w:t>Policy Action</w:t>
            </w:r>
          </w:p>
        </w:tc>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rsidR="003C0CFF" w:rsidRDefault="0094637A">
            <w:pPr>
              <w:jc w:val="center"/>
            </w:pPr>
            <w:r>
              <w:rPr>
                <w:rFonts w:cs="Arial"/>
                <w:b/>
                <w:bCs/>
                <w:color w:val="FFFFFF"/>
                <w:sz w:val="20"/>
                <w:szCs w:val="20"/>
              </w:rPr>
              <w:t>Target</w:t>
            </w:r>
          </w:p>
        </w:tc>
        <w:tc>
          <w:tcPr>
            <w:tcW w:w="33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rsidR="003C0CFF" w:rsidRDefault="0094637A">
            <w:pPr>
              <w:jc w:val="center"/>
            </w:pPr>
            <w:r>
              <w:rPr>
                <w:rFonts w:cs="Arial"/>
                <w:b/>
                <w:bCs/>
                <w:color w:val="FFFFFF"/>
                <w:sz w:val="20"/>
                <w:szCs w:val="20"/>
              </w:rPr>
              <w:t>Earnings Impact</w:t>
            </w:r>
          </w:p>
        </w:tc>
      </w:tr>
      <w:tr w:rsidR="003C0CFF">
        <w:tc>
          <w:tcPr>
            <w:tcW w:w="2800" w:type="dxa"/>
            <w:tcBorders>
              <w:top w:val="single" w:sz="1" w:space="0" w:color="AAAAAA"/>
              <w:left w:val="single" w:sz="1" w:space="0" w:color="AAAAAA"/>
              <w:bottom w:val="single" w:sz="1" w:space="0" w:color="AAAAAA"/>
              <w:right w:val="single" w:sz="1" w:space="0" w:color="AAAAAA"/>
            </w:tcBorders>
            <w:shd w:val="clear" w:color="auto" w:fill="EBF3FC"/>
            <w:tcMar>
              <w:top w:w="60" w:type="dxa"/>
              <w:left w:w="120" w:type="dxa"/>
              <w:bottom w:w="60" w:type="dxa"/>
              <w:right w:w="120" w:type="dxa"/>
            </w:tcMar>
          </w:tcPr>
          <w:p w:rsidR="003C0CFF" w:rsidRDefault="0094637A">
            <w:pPr>
              <w:jc w:val="center"/>
            </w:pPr>
            <w:r>
              <w:rPr>
                <w:rFonts w:cs="Arial"/>
                <w:sz w:val="20"/>
                <w:szCs w:val="20"/>
              </w:rPr>
              <w:t>RBI Repo Rate Cut (25 bps Feb'25)</w:t>
            </w:r>
          </w:p>
        </w:tc>
        <w:tc>
          <w:tcPr>
            <w:tcW w:w="2200" w:type="dxa"/>
            <w:tcBorders>
              <w:top w:val="single" w:sz="1" w:space="0" w:color="AAAAAA"/>
              <w:left w:val="single" w:sz="1" w:space="0" w:color="AAAAAA"/>
              <w:bottom w:val="single" w:sz="1" w:space="0" w:color="AAAAAA"/>
              <w:right w:val="single" w:sz="1" w:space="0" w:color="AAAAAA"/>
            </w:tcBorders>
            <w:shd w:val="clear" w:color="auto" w:fill="EBF3FC"/>
            <w:tcMar>
              <w:top w:w="60" w:type="dxa"/>
              <w:left w:w="120" w:type="dxa"/>
              <w:bottom w:w="60" w:type="dxa"/>
              <w:right w:w="120" w:type="dxa"/>
            </w:tcMar>
          </w:tcPr>
          <w:p w:rsidR="003C0CFF" w:rsidRDefault="0094637A">
            <w:pPr>
              <w:jc w:val="center"/>
            </w:pPr>
            <w:r>
              <w:rPr>
                <w:rFonts w:cs="Arial"/>
                <w:sz w:val="20"/>
                <w:szCs w:val="20"/>
              </w:rPr>
              <w:t>Boost lending, lower EMIs</w:t>
            </w:r>
          </w:p>
        </w:tc>
        <w:tc>
          <w:tcPr>
            <w:tcW w:w="3360" w:type="dxa"/>
            <w:tcBorders>
              <w:top w:val="single" w:sz="1" w:space="0" w:color="AAAAAA"/>
              <w:left w:val="single" w:sz="1" w:space="0" w:color="AAAAAA"/>
              <w:bottom w:val="single" w:sz="1" w:space="0" w:color="AAAAAA"/>
              <w:right w:val="single" w:sz="1" w:space="0" w:color="AAAAAA"/>
            </w:tcBorders>
            <w:shd w:val="clear" w:color="auto" w:fill="EBF3FC"/>
            <w:tcMar>
              <w:top w:w="60" w:type="dxa"/>
              <w:left w:w="120" w:type="dxa"/>
              <w:bottom w:w="60" w:type="dxa"/>
              <w:right w:w="120" w:type="dxa"/>
            </w:tcMar>
          </w:tcPr>
          <w:p w:rsidR="003C0CFF" w:rsidRDefault="0094637A">
            <w:pPr>
              <w:jc w:val="center"/>
            </w:pPr>
            <w:r>
              <w:rPr>
                <w:rFonts w:cs="Arial"/>
                <w:sz w:val="20"/>
                <w:szCs w:val="20"/>
              </w:rPr>
              <w:t xml:space="preserve">Positive for banks and NBFCs (lower </w:t>
            </w:r>
            <w:proofErr w:type="spellStart"/>
            <w:r>
              <w:rPr>
                <w:rFonts w:cs="Arial"/>
                <w:sz w:val="20"/>
                <w:szCs w:val="20"/>
              </w:rPr>
              <w:t>CoF</w:t>
            </w:r>
            <w:proofErr w:type="spellEnd"/>
            <w:r>
              <w:rPr>
                <w:rFonts w:cs="Arial"/>
                <w:sz w:val="20"/>
                <w:szCs w:val="20"/>
              </w:rPr>
              <w:t>); negative for NIM in short term</w:t>
            </w:r>
          </w:p>
        </w:tc>
      </w:tr>
      <w:tr w:rsidR="003C0CFF">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3C0CFF" w:rsidRDefault="0094637A">
            <w:pPr>
              <w:jc w:val="center"/>
            </w:pPr>
            <w:r>
              <w:rPr>
                <w:rFonts w:cs="Arial"/>
                <w:sz w:val="20"/>
                <w:szCs w:val="20"/>
              </w:rPr>
              <w:t xml:space="preserve">Government Capex ₹10.18 lakh </w:t>
            </w:r>
            <w:proofErr w:type="spellStart"/>
            <w:r>
              <w:rPr>
                <w:rFonts w:cs="Arial"/>
                <w:sz w:val="20"/>
                <w:szCs w:val="20"/>
              </w:rPr>
              <w:t>cr</w:t>
            </w:r>
            <w:proofErr w:type="spellEnd"/>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3C0CFF" w:rsidRDefault="0094637A">
            <w:pPr>
              <w:jc w:val="center"/>
            </w:pPr>
            <w:r>
              <w:rPr>
                <w:rFonts w:cs="Arial"/>
                <w:sz w:val="20"/>
                <w:szCs w:val="20"/>
              </w:rPr>
              <w:t>Infrastructure, jobs</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3C0CFF" w:rsidRDefault="0094637A">
            <w:pPr>
              <w:jc w:val="center"/>
            </w:pPr>
            <w:r>
              <w:rPr>
                <w:rFonts w:cs="Arial"/>
                <w:sz w:val="20"/>
                <w:szCs w:val="20"/>
              </w:rPr>
              <w:t>Positive for capital goods, infra, steel, cement</w:t>
            </w:r>
          </w:p>
        </w:tc>
      </w:tr>
      <w:tr w:rsidR="003C0CFF">
        <w:tc>
          <w:tcPr>
            <w:tcW w:w="2800" w:type="dxa"/>
            <w:tcBorders>
              <w:top w:val="single" w:sz="1" w:space="0" w:color="AAAAAA"/>
              <w:left w:val="single" w:sz="1" w:space="0" w:color="AAAAAA"/>
              <w:bottom w:val="single" w:sz="1" w:space="0" w:color="AAAAAA"/>
              <w:right w:val="single" w:sz="1" w:space="0" w:color="AAAAAA"/>
            </w:tcBorders>
            <w:shd w:val="clear" w:color="auto" w:fill="EBF3FC"/>
            <w:tcMar>
              <w:top w:w="60" w:type="dxa"/>
              <w:left w:w="120" w:type="dxa"/>
              <w:bottom w:w="60" w:type="dxa"/>
              <w:right w:w="120" w:type="dxa"/>
            </w:tcMar>
          </w:tcPr>
          <w:p w:rsidR="003C0CFF" w:rsidRDefault="0094637A">
            <w:pPr>
              <w:jc w:val="center"/>
            </w:pPr>
            <w:r>
              <w:rPr>
                <w:rFonts w:cs="Arial"/>
                <w:sz w:val="20"/>
                <w:szCs w:val="20"/>
              </w:rPr>
              <w:t>PLI Scheme (14 sectors)</w:t>
            </w:r>
          </w:p>
        </w:tc>
        <w:tc>
          <w:tcPr>
            <w:tcW w:w="2200" w:type="dxa"/>
            <w:tcBorders>
              <w:top w:val="single" w:sz="1" w:space="0" w:color="AAAAAA"/>
              <w:left w:val="single" w:sz="1" w:space="0" w:color="AAAAAA"/>
              <w:bottom w:val="single" w:sz="1" w:space="0" w:color="AAAAAA"/>
              <w:right w:val="single" w:sz="1" w:space="0" w:color="AAAAAA"/>
            </w:tcBorders>
            <w:shd w:val="clear" w:color="auto" w:fill="EBF3FC"/>
            <w:tcMar>
              <w:top w:w="60" w:type="dxa"/>
              <w:left w:w="120" w:type="dxa"/>
              <w:bottom w:w="60" w:type="dxa"/>
              <w:right w:w="120" w:type="dxa"/>
            </w:tcMar>
          </w:tcPr>
          <w:p w:rsidR="003C0CFF" w:rsidRDefault="0094637A">
            <w:pPr>
              <w:jc w:val="center"/>
            </w:pPr>
            <w:r>
              <w:rPr>
                <w:rFonts w:cs="Arial"/>
                <w:sz w:val="20"/>
                <w:szCs w:val="20"/>
              </w:rPr>
              <w:t>Manufacturing boost</w:t>
            </w:r>
          </w:p>
        </w:tc>
        <w:tc>
          <w:tcPr>
            <w:tcW w:w="3360" w:type="dxa"/>
            <w:tcBorders>
              <w:top w:val="single" w:sz="1" w:space="0" w:color="AAAAAA"/>
              <w:left w:val="single" w:sz="1" w:space="0" w:color="AAAAAA"/>
              <w:bottom w:val="single" w:sz="1" w:space="0" w:color="AAAAAA"/>
              <w:right w:val="single" w:sz="1" w:space="0" w:color="AAAAAA"/>
            </w:tcBorders>
            <w:shd w:val="clear" w:color="auto" w:fill="EBF3FC"/>
            <w:tcMar>
              <w:top w:w="60" w:type="dxa"/>
              <w:left w:w="120" w:type="dxa"/>
              <w:bottom w:w="60" w:type="dxa"/>
              <w:right w:w="120" w:type="dxa"/>
            </w:tcMar>
          </w:tcPr>
          <w:p w:rsidR="003C0CFF" w:rsidRDefault="0094637A">
            <w:pPr>
              <w:jc w:val="center"/>
            </w:pPr>
            <w:r>
              <w:rPr>
                <w:rFonts w:cs="Arial"/>
                <w:sz w:val="20"/>
                <w:szCs w:val="20"/>
              </w:rPr>
              <w:t>Positive for electronics, pharma, textiles</w:t>
            </w:r>
          </w:p>
        </w:tc>
      </w:tr>
      <w:tr w:rsidR="003C0CFF">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3C0CFF" w:rsidRDefault="0094637A">
            <w:pPr>
              <w:jc w:val="center"/>
            </w:pPr>
            <w:r>
              <w:rPr>
                <w:rFonts w:cs="Arial"/>
                <w:sz w:val="20"/>
                <w:szCs w:val="20"/>
              </w:rPr>
              <w:t>CRR Cut 100 bps (phased)</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3C0CFF" w:rsidRDefault="0094637A">
            <w:pPr>
              <w:jc w:val="center"/>
            </w:pPr>
            <w:r>
              <w:rPr>
                <w:rFonts w:cs="Arial"/>
                <w:sz w:val="20"/>
                <w:szCs w:val="20"/>
              </w:rPr>
              <w:t xml:space="preserve">Inject liquidity ₹1.16 lakh </w:t>
            </w:r>
            <w:proofErr w:type="spellStart"/>
            <w:r>
              <w:rPr>
                <w:rFonts w:cs="Arial"/>
                <w:sz w:val="20"/>
                <w:szCs w:val="20"/>
              </w:rPr>
              <w:t>cr</w:t>
            </w:r>
            <w:proofErr w:type="spellEnd"/>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3C0CFF" w:rsidRDefault="0094637A">
            <w:pPr>
              <w:jc w:val="center"/>
            </w:pPr>
            <w:r>
              <w:rPr>
                <w:rFonts w:cs="Arial"/>
                <w:sz w:val="20"/>
                <w:szCs w:val="20"/>
              </w:rPr>
              <w:t>Improves bank lending capacity</w:t>
            </w:r>
          </w:p>
        </w:tc>
      </w:tr>
      <w:tr w:rsidR="003C0CFF">
        <w:tc>
          <w:tcPr>
            <w:tcW w:w="2800" w:type="dxa"/>
            <w:tcBorders>
              <w:top w:val="single" w:sz="1" w:space="0" w:color="AAAAAA"/>
              <w:left w:val="single" w:sz="1" w:space="0" w:color="AAAAAA"/>
              <w:bottom w:val="single" w:sz="1" w:space="0" w:color="AAAAAA"/>
              <w:right w:val="single" w:sz="1" w:space="0" w:color="AAAAAA"/>
            </w:tcBorders>
            <w:shd w:val="clear" w:color="auto" w:fill="EBF3FC"/>
            <w:tcMar>
              <w:top w:w="60" w:type="dxa"/>
              <w:left w:w="120" w:type="dxa"/>
              <w:bottom w:w="60" w:type="dxa"/>
              <w:right w:w="120" w:type="dxa"/>
            </w:tcMar>
          </w:tcPr>
          <w:p w:rsidR="003C0CFF" w:rsidRDefault="0094637A">
            <w:pPr>
              <w:jc w:val="center"/>
            </w:pPr>
            <w:r>
              <w:rPr>
                <w:rFonts w:cs="Arial"/>
                <w:sz w:val="20"/>
                <w:szCs w:val="20"/>
              </w:rPr>
              <w:t>GST rationalization (select items)</w:t>
            </w:r>
          </w:p>
        </w:tc>
        <w:tc>
          <w:tcPr>
            <w:tcW w:w="2200" w:type="dxa"/>
            <w:tcBorders>
              <w:top w:val="single" w:sz="1" w:space="0" w:color="AAAAAA"/>
              <w:left w:val="single" w:sz="1" w:space="0" w:color="AAAAAA"/>
              <w:bottom w:val="single" w:sz="1" w:space="0" w:color="AAAAAA"/>
              <w:right w:val="single" w:sz="1" w:space="0" w:color="AAAAAA"/>
            </w:tcBorders>
            <w:shd w:val="clear" w:color="auto" w:fill="EBF3FC"/>
            <w:tcMar>
              <w:top w:w="60" w:type="dxa"/>
              <w:left w:w="120" w:type="dxa"/>
              <w:bottom w:w="60" w:type="dxa"/>
              <w:right w:w="120" w:type="dxa"/>
            </w:tcMar>
          </w:tcPr>
          <w:p w:rsidR="003C0CFF" w:rsidRDefault="0094637A">
            <w:pPr>
              <w:jc w:val="center"/>
            </w:pPr>
            <w:r>
              <w:rPr>
                <w:rFonts w:cs="Arial"/>
                <w:sz w:val="20"/>
                <w:szCs w:val="20"/>
              </w:rPr>
              <w:t>Reduce consumer burden</w:t>
            </w:r>
          </w:p>
        </w:tc>
        <w:tc>
          <w:tcPr>
            <w:tcW w:w="3360" w:type="dxa"/>
            <w:tcBorders>
              <w:top w:val="single" w:sz="1" w:space="0" w:color="AAAAAA"/>
              <w:left w:val="single" w:sz="1" w:space="0" w:color="AAAAAA"/>
              <w:bottom w:val="single" w:sz="1" w:space="0" w:color="AAAAAA"/>
              <w:right w:val="single" w:sz="1" w:space="0" w:color="AAAAAA"/>
            </w:tcBorders>
            <w:shd w:val="clear" w:color="auto" w:fill="EBF3FC"/>
            <w:tcMar>
              <w:top w:w="60" w:type="dxa"/>
              <w:left w:w="120" w:type="dxa"/>
              <w:bottom w:w="60" w:type="dxa"/>
              <w:right w:w="120" w:type="dxa"/>
            </w:tcMar>
          </w:tcPr>
          <w:p w:rsidR="003C0CFF" w:rsidRDefault="0094637A">
            <w:pPr>
              <w:jc w:val="center"/>
            </w:pPr>
            <w:r>
              <w:rPr>
                <w:rFonts w:cs="Arial"/>
                <w:sz w:val="20"/>
                <w:szCs w:val="20"/>
              </w:rPr>
              <w:t>Positive for FMCG in those categories</w:t>
            </w:r>
          </w:p>
        </w:tc>
      </w:tr>
      <w:tr w:rsidR="003C0CFF">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3C0CFF" w:rsidRDefault="0094637A">
            <w:pPr>
              <w:jc w:val="center"/>
            </w:pPr>
            <w:r>
              <w:rPr>
                <w:rFonts w:cs="Arial"/>
                <w:sz w:val="20"/>
                <w:szCs w:val="20"/>
              </w:rPr>
              <w:t>Income Tax relief (Budget FY26)</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3C0CFF" w:rsidRDefault="0094637A">
            <w:pPr>
              <w:jc w:val="center"/>
            </w:pPr>
            <w:r>
              <w:rPr>
                <w:rFonts w:cs="Arial"/>
                <w:sz w:val="20"/>
                <w:szCs w:val="20"/>
              </w:rPr>
              <w:t>Boost disposable income</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3C0CFF" w:rsidRDefault="0094637A">
            <w:pPr>
              <w:jc w:val="center"/>
            </w:pPr>
            <w:r>
              <w:rPr>
                <w:rFonts w:cs="Arial"/>
                <w:sz w:val="20"/>
                <w:szCs w:val="20"/>
              </w:rPr>
              <w:t>Positive for consumer discretionary</w:t>
            </w:r>
          </w:p>
        </w:tc>
      </w:tr>
    </w:tbl>
    <w:p w:rsidR="003C0CFF" w:rsidRDefault="003C0CFF"/>
    <w:p w:rsidR="003C0CFF" w:rsidRPr="00EA796C" w:rsidRDefault="00EA796C">
      <w:pPr>
        <w:pStyle w:val="Heading1"/>
        <w:pBdr>
          <w:bottom w:val="single" w:sz="6" w:space="1" w:color="1F3864"/>
        </w:pBdr>
        <w:rPr>
          <w:color w:val="000000" w:themeColor="text1"/>
        </w:rPr>
      </w:pPr>
      <w:r w:rsidRPr="00EA796C">
        <w:rPr>
          <w:color w:val="000000" w:themeColor="text1"/>
        </w:rPr>
        <w:t>4</w:t>
      </w:r>
      <w:r w:rsidR="0094637A" w:rsidRPr="00EA796C">
        <w:rPr>
          <w:color w:val="000000" w:themeColor="text1"/>
        </w:rPr>
        <w:t>. Impact Analysis on Sectors</w:t>
      </w:r>
    </w:p>
    <w:p w:rsidR="003C0CFF" w:rsidRPr="00EA796C" w:rsidRDefault="00EA796C">
      <w:pPr>
        <w:pStyle w:val="Heading2"/>
        <w:rPr>
          <w:color w:val="000000" w:themeColor="text1"/>
        </w:rPr>
      </w:pPr>
      <w:r w:rsidRPr="00EA796C">
        <w:rPr>
          <w:color w:val="000000" w:themeColor="text1"/>
        </w:rPr>
        <w:t>4</w:t>
      </w:r>
      <w:r w:rsidR="0094637A" w:rsidRPr="00EA796C">
        <w:rPr>
          <w:color w:val="000000" w:themeColor="text1"/>
        </w:rPr>
        <w:t>.1 Banking and Financial Services (BFSI)</w:t>
      </w:r>
    </w:p>
    <w:p w:rsidR="003C0CFF" w:rsidRDefault="0094637A">
      <w:pPr>
        <w:spacing w:before="80" w:after="80"/>
        <w:jc w:val="both"/>
      </w:pPr>
      <w:r>
        <w:rPr>
          <w:rFonts w:cs="Arial"/>
        </w:rPr>
        <w:t xml:space="preserve">The BFSI sector was the clearest winner of Q3 FY25, posting 20% net profit growth to ₹1.32 lakh crore. PSU banks led the charge on NPA improvement: gross NPAs declined to multi-year lows across names like Bank of India (3.69%), while capital adequacy ratios improved across the board. Credit growth of 12–15% for PSU banks was driven by retail, </w:t>
      </w:r>
      <w:proofErr w:type="spellStart"/>
      <w:r>
        <w:rPr>
          <w:rFonts w:cs="Arial"/>
        </w:rPr>
        <w:t>agri</w:t>
      </w:r>
      <w:proofErr w:type="spellEnd"/>
      <w:r>
        <w:rPr>
          <w:rFonts w:cs="Arial"/>
        </w:rPr>
        <w:t>, and MSME segments.</w:t>
      </w:r>
    </w:p>
    <w:p w:rsidR="00A04FC8" w:rsidRDefault="0094637A">
      <w:pPr>
        <w:spacing w:before="80" w:after="80"/>
        <w:jc w:val="both"/>
      </w:pPr>
      <w:r>
        <w:rPr>
          <w:rFonts w:cs="Arial"/>
        </w:rPr>
        <w:t>Private banks faced a more nuanced quarter. HDFC Bank's deliberately slow credit growth (3% YoY in advances) reflected a strategic choice to rebuild the deposit base after the merger with HDFC Ltd. This deposit-first strategy compressed near-term profitability but sets the stage for sustainable NIM recovery once the loan-deposit ratio normalises. HDFC's CASA ratio remained healthy at ~38% of deposits.</w:t>
      </w:r>
    </w:p>
    <w:p w:rsidR="003C0CFF" w:rsidRDefault="0094637A">
      <w:pPr>
        <w:spacing w:before="80" w:after="80"/>
        <w:jc w:val="both"/>
      </w:pPr>
      <w:r>
        <w:rPr>
          <w:rFonts w:cs="Arial"/>
          <w:b/>
          <w:bCs/>
        </w:rPr>
        <w:t xml:space="preserve">Insight: </w:t>
      </w:r>
      <w:r>
        <w:rPr>
          <w:rFonts w:cs="Arial"/>
        </w:rPr>
        <w:t>HDFC Bank's NIM at 3.43% may be a floor, not a trend. With RBI now in an easing cycle, liability repricing will likely outpace asset repricing in H1 FY26, meaning HDFC Bank's NIM could expand 10–15 bps before December 2025. Street estimates for HDFC FY26 ROA (~2.1%) appear conservative given this setup.</w:t>
      </w:r>
    </w:p>
    <w:p w:rsidR="003C0CFF" w:rsidRPr="00EA796C" w:rsidRDefault="00EA796C">
      <w:pPr>
        <w:pStyle w:val="Heading2"/>
        <w:rPr>
          <w:color w:val="000000" w:themeColor="text1"/>
        </w:rPr>
      </w:pPr>
      <w:r w:rsidRPr="00EA796C">
        <w:rPr>
          <w:color w:val="000000" w:themeColor="text1"/>
        </w:rPr>
        <w:t>4.</w:t>
      </w:r>
      <w:r w:rsidR="0094637A" w:rsidRPr="00EA796C">
        <w:rPr>
          <w:color w:val="000000" w:themeColor="text1"/>
        </w:rPr>
        <w:t>2 Information Technology</w:t>
      </w:r>
    </w:p>
    <w:p w:rsidR="003C0CFF" w:rsidRDefault="0094637A">
      <w:pPr>
        <w:spacing w:before="80" w:after="80"/>
        <w:jc w:val="both"/>
      </w:pPr>
      <w:r>
        <w:rPr>
          <w:rFonts w:cs="Arial"/>
        </w:rPr>
        <w:t xml:space="preserve">The IT sector showed selective recovery. Infosys delivered the most convincing result — not just on revenue growth but on deal quality. Its $2.5 billion TCV with 63% net-new deals suggests the </w:t>
      </w:r>
      <w:r>
        <w:rPr>
          <w:rFonts w:cs="Arial"/>
        </w:rPr>
        <w:lastRenderedPageBreak/>
        <w:t>pipeline is not merely renewals but genuine incremental business, particularly in generative AI and cloud migration workloads.</w:t>
      </w:r>
    </w:p>
    <w:p w:rsidR="003C0CFF" w:rsidRDefault="0094637A">
      <w:pPr>
        <w:spacing w:before="80" w:after="80"/>
        <w:jc w:val="both"/>
      </w:pPr>
      <w:r>
        <w:rPr>
          <w:rFonts w:cs="Arial"/>
        </w:rPr>
        <w:t>TCS grew 5.9% YoY in reported terms, with stronger traction in Manufacturing (+12.2% CC) and Financial Services. Both companies benefited from gradual recovery in US discretionary IT spending following the Federal Reserve's pivot to rate cuts in September 2024.</w:t>
      </w:r>
    </w:p>
    <w:p w:rsidR="003C0CFF" w:rsidRDefault="0094637A">
      <w:pPr>
        <w:spacing w:before="80" w:after="80"/>
        <w:jc w:val="both"/>
      </w:pPr>
      <w:r>
        <w:rPr>
          <w:rFonts w:cs="Arial"/>
          <w:b/>
          <w:bCs/>
        </w:rPr>
        <w:t xml:space="preserve">Insight: </w:t>
      </w:r>
      <w:r>
        <w:rPr>
          <w:rFonts w:cs="Arial"/>
        </w:rPr>
        <w:t xml:space="preserve">Street estimates for IT sector FY26 earnings may be </w:t>
      </w:r>
      <w:proofErr w:type="spellStart"/>
      <w:r>
        <w:rPr>
          <w:rFonts w:cs="Arial"/>
        </w:rPr>
        <w:t>underpricing</w:t>
      </w:r>
      <w:proofErr w:type="spellEnd"/>
      <w:r>
        <w:rPr>
          <w:rFonts w:cs="Arial"/>
        </w:rPr>
        <w:t xml:space="preserve"> the AI-led deal acceleration. Infosys and TCS both cited growing </w:t>
      </w:r>
      <w:proofErr w:type="spellStart"/>
      <w:r>
        <w:rPr>
          <w:rFonts w:cs="Arial"/>
        </w:rPr>
        <w:t>GenAI</w:t>
      </w:r>
      <w:proofErr w:type="spellEnd"/>
      <w:r>
        <w:rPr>
          <w:rFonts w:cs="Arial"/>
        </w:rPr>
        <w:t xml:space="preserve"> pipelines, yet forward PE multiples have not fully re-rated to reflect this. If Infosys maintains the current deal win rate through Q4 FY25 and Q1 FY26, a guidance upgrade to 5.5–6% for FY26 is plausible, which would be a meaningful positive surprise for the sector.</w:t>
      </w:r>
    </w:p>
    <w:p w:rsidR="003C0CFF" w:rsidRPr="00EA796C" w:rsidRDefault="00EA796C">
      <w:pPr>
        <w:pStyle w:val="Heading2"/>
        <w:rPr>
          <w:color w:val="000000" w:themeColor="text1"/>
        </w:rPr>
      </w:pPr>
      <w:r w:rsidRPr="00EA796C">
        <w:rPr>
          <w:color w:val="000000" w:themeColor="text1"/>
        </w:rPr>
        <w:t>4</w:t>
      </w:r>
      <w:r w:rsidR="0094637A" w:rsidRPr="00EA796C">
        <w:rPr>
          <w:color w:val="000000" w:themeColor="text1"/>
        </w:rPr>
        <w:t>.3 FMCG and Consumer</w:t>
      </w:r>
    </w:p>
    <w:p w:rsidR="003C0CFF" w:rsidRDefault="0094637A">
      <w:pPr>
        <w:spacing w:before="80" w:after="80"/>
        <w:jc w:val="both"/>
      </w:pPr>
      <w:r>
        <w:rPr>
          <w:rFonts w:cs="Arial"/>
        </w:rPr>
        <w:t>ITC's revenue growth of ~8.5% YoY in Q3 FY25 masked divergent segment trends. The Cigarettes segment delivered resilient earnings (segment results ₹5,025 crore for 9M FY25) despite moderate volume growth, reflecting ITC's pricing power in a segment with inelastic demand. The FMCG-Others segment, however, continued to absorb brand-building and gestation costs, limiting its EBITDA contribution.</w:t>
      </w:r>
    </w:p>
    <w:p w:rsidR="003C0CFF" w:rsidRDefault="0094637A">
      <w:pPr>
        <w:spacing w:before="80" w:after="80"/>
        <w:jc w:val="both"/>
      </w:pPr>
      <w:r>
        <w:rPr>
          <w:rFonts w:cs="Arial"/>
        </w:rPr>
        <w:t xml:space="preserve">Broadly, urban FMCG demand was muted, with companies like HUL and Marico reporting volume growth of 2–4% — barely above inflation. Rural FMCG demand was relatively healthier, supported by a good </w:t>
      </w:r>
      <w:proofErr w:type="spellStart"/>
      <w:r>
        <w:rPr>
          <w:rFonts w:cs="Arial"/>
        </w:rPr>
        <w:t>Kharif</w:t>
      </w:r>
      <w:proofErr w:type="spellEnd"/>
      <w:r>
        <w:rPr>
          <w:rFonts w:cs="Arial"/>
        </w:rPr>
        <w:t xml:space="preserve"> harvest and increased rural income transfers. The divergence between urban and rural demand is a key structural narrative for FY26 — companies with rural distribution depth should outperform.</w:t>
      </w:r>
    </w:p>
    <w:p w:rsidR="003C0CFF" w:rsidRPr="00EA796C" w:rsidRDefault="00EA796C">
      <w:pPr>
        <w:pStyle w:val="Heading2"/>
        <w:rPr>
          <w:color w:val="000000" w:themeColor="text1"/>
        </w:rPr>
      </w:pPr>
      <w:r w:rsidRPr="00EA796C">
        <w:rPr>
          <w:color w:val="000000" w:themeColor="text1"/>
        </w:rPr>
        <w:t>4</w:t>
      </w:r>
      <w:r w:rsidR="0094637A" w:rsidRPr="00EA796C">
        <w:rPr>
          <w:color w:val="000000" w:themeColor="text1"/>
        </w:rPr>
        <w:t>.4 Oil, Gas and Energy</w:t>
      </w:r>
    </w:p>
    <w:p w:rsidR="003C0CFF" w:rsidRDefault="0094637A">
      <w:pPr>
        <w:spacing w:before="80" w:after="80"/>
        <w:jc w:val="both"/>
      </w:pPr>
      <w:r>
        <w:rPr>
          <w:rFonts w:cs="Arial"/>
        </w:rPr>
        <w:t xml:space="preserve">Reliance Industries' 11.7% PAT growth looks strong at first glance, but it was driven almost entirely by </w:t>
      </w:r>
      <w:proofErr w:type="spellStart"/>
      <w:r>
        <w:rPr>
          <w:rFonts w:cs="Arial"/>
        </w:rPr>
        <w:t>Jio</w:t>
      </w:r>
      <w:proofErr w:type="spellEnd"/>
      <w:r>
        <w:rPr>
          <w:rFonts w:cs="Arial"/>
        </w:rPr>
        <w:t xml:space="preserve"> and Retail. The O2C (Oil-to-Chemicals) segment, which includes the world's largest refinery complex, saw EBITDA grow only 2.4% YoY as global refining margins compressed. The Singapore GRM benchmark remained in the $3–5/</w:t>
      </w:r>
      <w:proofErr w:type="spellStart"/>
      <w:r>
        <w:rPr>
          <w:rFonts w:cs="Arial"/>
        </w:rPr>
        <w:t>bbl</w:t>
      </w:r>
      <w:proofErr w:type="spellEnd"/>
      <w:r>
        <w:rPr>
          <w:rFonts w:cs="Arial"/>
        </w:rPr>
        <w:t xml:space="preserve"> range in Q3 FY25, significantly below the $10+ seen in post-COVID periods.</w:t>
      </w:r>
    </w:p>
    <w:p w:rsidR="003C0CFF" w:rsidRDefault="0094637A">
      <w:pPr>
        <w:spacing w:before="80" w:after="80"/>
        <w:jc w:val="both"/>
      </w:pPr>
      <w:r>
        <w:rPr>
          <w:rFonts w:cs="Arial"/>
        </w:rPr>
        <w:t>For the sector broadly, the transition toward renewables and domestic gas is accelerating. The government's target of 500 GW renewable capacity by 2030 is already driving capital allocation shifts at both ONGC and Reliance.</w:t>
      </w:r>
    </w:p>
    <w:p w:rsidR="003C0CFF" w:rsidRPr="00EA796C" w:rsidRDefault="00EA796C">
      <w:pPr>
        <w:pStyle w:val="Heading2"/>
        <w:rPr>
          <w:color w:val="000000" w:themeColor="text1"/>
        </w:rPr>
      </w:pPr>
      <w:r w:rsidRPr="00EA796C">
        <w:rPr>
          <w:color w:val="000000" w:themeColor="text1"/>
        </w:rPr>
        <w:t>4</w:t>
      </w:r>
      <w:r w:rsidR="0094637A" w:rsidRPr="00EA796C">
        <w:rPr>
          <w:color w:val="000000" w:themeColor="text1"/>
        </w:rPr>
        <w:t>.5 Capital Goods and Infrastructure</w:t>
      </w:r>
    </w:p>
    <w:p w:rsidR="003C0CFF" w:rsidRDefault="0094637A">
      <w:pPr>
        <w:spacing w:before="80" w:after="80"/>
        <w:jc w:val="both"/>
      </w:pPr>
      <w:r>
        <w:rPr>
          <w:rFonts w:cs="Arial"/>
        </w:rPr>
        <w:t>This was the strongest sector in Q3 FY25, with companies like L&amp;T, Siemens, and ABB posting 15–20% PAT growth. The driver was clear: central and state government capex. National highway construction maintained its pace, and the PLI-linked manufacturing push created strong order books for engineering and capital goods companies. Execution of the central capex target (₹10.18 lakh crore for FY25) was critical, and by H1 FY25, execution had picked up 8.2% YoY.</w:t>
      </w:r>
    </w:p>
    <w:p w:rsidR="003C0CFF" w:rsidRDefault="003C0CFF"/>
    <w:p w:rsidR="003C0CFF" w:rsidRPr="00EA796C" w:rsidRDefault="00EA796C">
      <w:pPr>
        <w:pStyle w:val="Heading1"/>
        <w:pBdr>
          <w:bottom w:val="single" w:sz="6" w:space="1" w:color="1F3864"/>
        </w:pBdr>
        <w:rPr>
          <w:color w:val="000000" w:themeColor="text1"/>
        </w:rPr>
      </w:pPr>
      <w:r w:rsidRPr="00EA796C">
        <w:rPr>
          <w:color w:val="000000" w:themeColor="text1"/>
        </w:rPr>
        <w:t>5</w:t>
      </w:r>
      <w:r w:rsidR="0094637A" w:rsidRPr="00EA796C">
        <w:rPr>
          <w:color w:val="000000" w:themeColor="text1"/>
        </w:rPr>
        <w:t>. Policy Measures and Government Response</w:t>
      </w:r>
    </w:p>
    <w:p w:rsidR="003C0CFF" w:rsidRPr="00EA796C" w:rsidRDefault="00EA796C">
      <w:pPr>
        <w:pStyle w:val="Heading2"/>
        <w:rPr>
          <w:color w:val="000000" w:themeColor="text1"/>
        </w:rPr>
      </w:pPr>
      <w:r w:rsidRPr="00EA796C">
        <w:rPr>
          <w:color w:val="000000" w:themeColor="text1"/>
        </w:rPr>
        <w:t>5</w:t>
      </w:r>
      <w:r w:rsidR="0094637A" w:rsidRPr="00EA796C">
        <w:rPr>
          <w:color w:val="000000" w:themeColor="text1"/>
        </w:rPr>
        <w:t>.1 RBI Monetary Policy – Easing Cycle</w:t>
      </w:r>
    </w:p>
    <w:p w:rsidR="003C0CFF" w:rsidRDefault="0094637A">
      <w:pPr>
        <w:spacing w:before="80" w:after="80"/>
        <w:jc w:val="both"/>
      </w:pPr>
      <w:r>
        <w:rPr>
          <w:rFonts w:cs="Arial"/>
        </w:rPr>
        <w:t>The Reserve Bank of India began its rate-cutting cycle in February 2025 after keeping rates on hold for 11 consecutive meetings at 6.5%. The sequence of rate actions in 2025 was: February 2025: -25 bps to 6.25%. April 2025: -25 bps to 6.00%. June 2025: -50 bps to 5.50%, along with a 100 bps CRR cut.</w:t>
      </w:r>
    </w:p>
    <w:p w:rsidR="003C0CFF" w:rsidRDefault="0094637A">
      <w:pPr>
        <w:spacing w:before="80" w:after="80"/>
        <w:jc w:val="both"/>
      </w:pPr>
      <w:r>
        <w:rPr>
          <w:rFonts w:cs="Arial"/>
        </w:rPr>
        <w:lastRenderedPageBreak/>
        <w:t>These cuts were supported by a benign inflation environment. Headline CPI declined from ~5.4% in FY24 to below 4% by early FY25, eventually recording a six-year low of 2.8% in May 2025. Food inflation easing and stable fuel prices gave the MPC the confidence to act.</w:t>
      </w:r>
    </w:p>
    <w:p w:rsidR="003C0CFF" w:rsidRDefault="0094637A">
      <w:pPr>
        <w:spacing w:before="80" w:after="80"/>
        <w:jc w:val="both"/>
      </w:pPr>
      <w:r>
        <w:rPr>
          <w:rFonts w:cs="Arial"/>
        </w:rPr>
        <w:t>The RBI also injected ₹9.5 lakh crore of durable liquidity through open market operations (OMO purchases), buy-sell FX swaps, and variable rate repos. This addressed a structural liquidity deficit that had tightened financial conditions in H2 FY24.</w:t>
      </w:r>
    </w:p>
    <w:p w:rsidR="003C0CFF" w:rsidRPr="00EA796C" w:rsidRDefault="00EA796C">
      <w:pPr>
        <w:pStyle w:val="Heading2"/>
        <w:rPr>
          <w:color w:val="000000" w:themeColor="text1"/>
        </w:rPr>
      </w:pPr>
      <w:r w:rsidRPr="00EA796C">
        <w:rPr>
          <w:color w:val="000000" w:themeColor="text1"/>
        </w:rPr>
        <w:t>5</w:t>
      </w:r>
      <w:r w:rsidR="0094637A" w:rsidRPr="00EA796C">
        <w:rPr>
          <w:color w:val="000000" w:themeColor="text1"/>
        </w:rPr>
        <w:t>.2 Fiscal Policy and Capex Push</w:t>
      </w:r>
    </w:p>
    <w:p w:rsidR="003C0CFF" w:rsidRDefault="0094637A">
      <w:pPr>
        <w:spacing w:before="80" w:after="80"/>
        <w:jc w:val="both"/>
      </w:pPr>
      <w:r>
        <w:rPr>
          <w:rFonts w:cs="Arial"/>
        </w:rPr>
        <w:t>The Union Budget FY25 allocated ₹11.11 lakh crore for capital expenditure (revised to ₹10.18 lakh crore after actual execution), representing 3.4% of GDP. This was the third consecutive year of 15–20% growth in capex, focused on roads, railways, ports, and urban infrastructure. Importantly, the quality of expenditure (capex-to-revenue ratio) has remained above 0.27 for three consecutive years — nearly double the pre-COVID average.</w:t>
      </w:r>
    </w:p>
    <w:p w:rsidR="003C0CFF" w:rsidRDefault="0094637A">
      <w:pPr>
        <w:spacing w:before="80" w:after="80"/>
        <w:jc w:val="both"/>
      </w:pPr>
      <w:r>
        <w:rPr>
          <w:rFonts w:cs="Arial"/>
        </w:rPr>
        <w:t>Tax reforms in the Interim Budget announced a ₹12 lakh income tax exemption limit (effective FY26), which is expected to put approximately ₹1 lakh crore back into household hands. This structural demand boost should flow through to consumer-facing sectors in FY26, making Q1–Q2 FY26 earnings particularly important to watch.</w:t>
      </w:r>
    </w:p>
    <w:p w:rsidR="003C0CFF" w:rsidRPr="00EA796C" w:rsidRDefault="00EA796C">
      <w:pPr>
        <w:pStyle w:val="Heading2"/>
        <w:rPr>
          <w:color w:val="000000" w:themeColor="text1"/>
        </w:rPr>
      </w:pPr>
      <w:r w:rsidRPr="00EA796C">
        <w:rPr>
          <w:color w:val="000000" w:themeColor="text1"/>
        </w:rPr>
        <w:t>5</w:t>
      </w:r>
      <w:r w:rsidR="0094637A" w:rsidRPr="00EA796C">
        <w:rPr>
          <w:color w:val="000000" w:themeColor="text1"/>
        </w:rPr>
        <w:t>.3 PLI Scheme Impact</w:t>
      </w:r>
    </w:p>
    <w:p w:rsidR="003C0CFF" w:rsidRDefault="003C0CFF"/>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2200"/>
        <w:gridCol w:w="1560"/>
      </w:tblGrid>
      <w:tr w:rsidR="003C0CFF">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rsidR="003C0CFF" w:rsidRDefault="0094637A">
            <w:pPr>
              <w:jc w:val="center"/>
            </w:pPr>
            <w:r>
              <w:rPr>
                <w:rFonts w:cs="Arial"/>
                <w:b/>
                <w:bCs/>
                <w:color w:val="FFFFFF"/>
                <w:sz w:val="20"/>
                <w:szCs w:val="20"/>
              </w:rPr>
              <w:t>PLI Sector</w:t>
            </w:r>
          </w:p>
        </w:tc>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rsidR="003C0CFF" w:rsidRDefault="0094637A">
            <w:pPr>
              <w:jc w:val="center"/>
            </w:pPr>
            <w:r>
              <w:rPr>
                <w:rFonts w:cs="Arial"/>
                <w:b/>
                <w:bCs/>
                <w:color w:val="FFFFFF"/>
                <w:sz w:val="20"/>
                <w:szCs w:val="20"/>
              </w:rPr>
              <w:t xml:space="preserve">Approved Investment (₹ </w:t>
            </w:r>
            <w:proofErr w:type="spellStart"/>
            <w:r>
              <w:rPr>
                <w:rFonts w:cs="Arial"/>
                <w:b/>
                <w:bCs/>
                <w:color w:val="FFFFFF"/>
                <w:sz w:val="20"/>
                <w:szCs w:val="20"/>
              </w:rPr>
              <w:t>cr</w:t>
            </w:r>
            <w:proofErr w:type="spellEnd"/>
            <w:r>
              <w:rPr>
                <w:rFonts w:cs="Arial"/>
                <w:b/>
                <w:bCs/>
                <w:color w:val="FFFFFF"/>
                <w:sz w:val="20"/>
                <w:szCs w:val="20"/>
              </w:rPr>
              <w:t>)</w:t>
            </w:r>
          </w:p>
        </w:tc>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rsidR="003C0CFF" w:rsidRDefault="0094637A">
            <w:pPr>
              <w:jc w:val="center"/>
            </w:pPr>
            <w:r>
              <w:rPr>
                <w:rFonts w:cs="Arial"/>
                <w:b/>
                <w:bCs/>
                <w:color w:val="FFFFFF"/>
                <w:sz w:val="20"/>
                <w:szCs w:val="20"/>
              </w:rPr>
              <w:t xml:space="preserve">Production/Sales (₹ </w:t>
            </w:r>
            <w:proofErr w:type="spellStart"/>
            <w:r>
              <w:rPr>
                <w:rFonts w:cs="Arial"/>
                <w:b/>
                <w:bCs/>
                <w:color w:val="FFFFFF"/>
                <w:sz w:val="20"/>
                <w:szCs w:val="20"/>
              </w:rPr>
              <w:t>cr</w:t>
            </w:r>
            <w:proofErr w:type="spellEnd"/>
            <w:r>
              <w:rPr>
                <w:rFonts w:cs="Arial"/>
                <w:b/>
                <w:bCs/>
                <w:color w:val="FFFFFF"/>
                <w:sz w:val="20"/>
                <w:szCs w:val="20"/>
              </w:rPr>
              <w:t>)</w:t>
            </w:r>
          </w:p>
        </w:tc>
        <w:tc>
          <w:tcPr>
            <w:tcW w:w="15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rsidR="003C0CFF" w:rsidRDefault="0094637A">
            <w:pPr>
              <w:jc w:val="center"/>
            </w:pPr>
            <w:r>
              <w:rPr>
                <w:rFonts w:cs="Arial"/>
                <w:b/>
                <w:bCs/>
                <w:color w:val="FFFFFF"/>
                <w:sz w:val="20"/>
                <w:szCs w:val="20"/>
              </w:rPr>
              <w:t>Jobs (Lakh)</w:t>
            </w:r>
          </w:p>
        </w:tc>
      </w:tr>
      <w:tr w:rsidR="003C0CFF">
        <w:tc>
          <w:tcPr>
            <w:tcW w:w="2400" w:type="dxa"/>
            <w:tcBorders>
              <w:top w:val="single" w:sz="1" w:space="0" w:color="AAAAAA"/>
              <w:left w:val="single" w:sz="1" w:space="0" w:color="AAAAAA"/>
              <w:bottom w:val="single" w:sz="1" w:space="0" w:color="AAAAAA"/>
              <w:right w:val="single" w:sz="1" w:space="0" w:color="AAAAAA"/>
            </w:tcBorders>
            <w:shd w:val="clear" w:color="auto" w:fill="EBF3FC"/>
            <w:tcMar>
              <w:top w:w="60" w:type="dxa"/>
              <w:left w:w="120" w:type="dxa"/>
              <w:bottom w:w="60" w:type="dxa"/>
              <w:right w:w="120" w:type="dxa"/>
            </w:tcMar>
          </w:tcPr>
          <w:p w:rsidR="003C0CFF" w:rsidRDefault="0094637A">
            <w:pPr>
              <w:jc w:val="center"/>
            </w:pPr>
            <w:r>
              <w:rPr>
                <w:rFonts w:cs="Arial"/>
                <w:sz w:val="20"/>
                <w:szCs w:val="20"/>
              </w:rPr>
              <w:t>Mobile / Electronics</w:t>
            </w:r>
          </w:p>
        </w:tc>
        <w:tc>
          <w:tcPr>
            <w:tcW w:w="2200" w:type="dxa"/>
            <w:tcBorders>
              <w:top w:val="single" w:sz="1" w:space="0" w:color="AAAAAA"/>
              <w:left w:val="single" w:sz="1" w:space="0" w:color="AAAAAA"/>
              <w:bottom w:val="single" w:sz="1" w:space="0" w:color="AAAAAA"/>
              <w:right w:val="single" w:sz="1" w:space="0" w:color="AAAAAA"/>
            </w:tcBorders>
            <w:shd w:val="clear" w:color="auto" w:fill="EBF3FC"/>
            <w:tcMar>
              <w:top w:w="60" w:type="dxa"/>
              <w:left w:w="120" w:type="dxa"/>
              <w:bottom w:w="60" w:type="dxa"/>
              <w:right w:w="120" w:type="dxa"/>
            </w:tcMar>
          </w:tcPr>
          <w:p w:rsidR="003C0CFF" w:rsidRDefault="0094637A">
            <w:pPr>
              <w:jc w:val="center"/>
            </w:pPr>
            <w:r>
              <w:rPr>
                <w:rFonts w:cs="Arial"/>
                <w:sz w:val="20"/>
                <w:szCs w:val="20"/>
              </w:rPr>
              <w:t>~40,000</w:t>
            </w:r>
          </w:p>
        </w:tc>
        <w:tc>
          <w:tcPr>
            <w:tcW w:w="2200" w:type="dxa"/>
            <w:tcBorders>
              <w:top w:val="single" w:sz="1" w:space="0" w:color="AAAAAA"/>
              <w:left w:val="single" w:sz="1" w:space="0" w:color="AAAAAA"/>
              <w:bottom w:val="single" w:sz="1" w:space="0" w:color="AAAAAA"/>
              <w:right w:val="single" w:sz="1" w:space="0" w:color="AAAAAA"/>
            </w:tcBorders>
            <w:shd w:val="clear" w:color="auto" w:fill="EBF3FC"/>
            <w:tcMar>
              <w:top w:w="60" w:type="dxa"/>
              <w:left w:w="120" w:type="dxa"/>
              <w:bottom w:w="60" w:type="dxa"/>
              <w:right w:w="120" w:type="dxa"/>
            </w:tcMar>
          </w:tcPr>
          <w:p w:rsidR="003C0CFF" w:rsidRDefault="0094637A">
            <w:pPr>
              <w:jc w:val="center"/>
            </w:pPr>
            <w:r>
              <w:rPr>
                <w:rFonts w:cs="Arial"/>
                <w:sz w:val="20"/>
                <w:szCs w:val="20"/>
              </w:rPr>
              <w:t>~3,00,000</w:t>
            </w:r>
          </w:p>
        </w:tc>
        <w:tc>
          <w:tcPr>
            <w:tcW w:w="1560" w:type="dxa"/>
            <w:tcBorders>
              <w:top w:val="single" w:sz="1" w:space="0" w:color="AAAAAA"/>
              <w:left w:val="single" w:sz="1" w:space="0" w:color="AAAAAA"/>
              <w:bottom w:val="single" w:sz="1" w:space="0" w:color="AAAAAA"/>
              <w:right w:val="single" w:sz="1" w:space="0" w:color="AAAAAA"/>
            </w:tcBorders>
            <w:shd w:val="clear" w:color="auto" w:fill="EBF3FC"/>
            <w:tcMar>
              <w:top w:w="60" w:type="dxa"/>
              <w:left w:w="120" w:type="dxa"/>
              <w:bottom w:w="60" w:type="dxa"/>
              <w:right w:w="120" w:type="dxa"/>
            </w:tcMar>
          </w:tcPr>
          <w:p w:rsidR="003C0CFF" w:rsidRDefault="0094637A">
            <w:pPr>
              <w:jc w:val="center"/>
            </w:pPr>
            <w:r>
              <w:rPr>
                <w:rFonts w:cs="Arial"/>
                <w:sz w:val="20"/>
                <w:szCs w:val="20"/>
              </w:rPr>
              <w:t>~2.5</w:t>
            </w:r>
          </w:p>
        </w:tc>
      </w:tr>
      <w:tr w:rsidR="003C0CFF">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3C0CFF" w:rsidRDefault="0094637A">
            <w:pPr>
              <w:jc w:val="center"/>
            </w:pPr>
            <w:r>
              <w:rPr>
                <w:rFonts w:cs="Arial"/>
                <w:sz w:val="20"/>
                <w:szCs w:val="20"/>
              </w:rPr>
              <w:t>Pharmaceuticals</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3C0CFF" w:rsidRDefault="0094637A">
            <w:pPr>
              <w:jc w:val="center"/>
            </w:pPr>
            <w:r>
              <w:rPr>
                <w:rFonts w:cs="Arial"/>
                <w:sz w:val="20"/>
                <w:szCs w:val="20"/>
              </w:rPr>
              <w:t>~15,000</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3C0CFF" w:rsidRDefault="0094637A">
            <w:pPr>
              <w:jc w:val="center"/>
            </w:pPr>
            <w:r>
              <w:rPr>
                <w:rFonts w:cs="Arial"/>
                <w:sz w:val="20"/>
                <w:szCs w:val="20"/>
              </w:rPr>
              <w:t>~80,000</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3C0CFF" w:rsidRDefault="0094637A">
            <w:pPr>
              <w:jc w:val="center"/>
            </w:pPr>
            <w:r>
              <w:rPr>
                <w:rFonts w:cs="Arial"/>
                <w:sz w:val="20"/>
                <w:szCs w:val="20"/>
              </w:rPr>
              <w:t>~0.5</w:t>
            </w:r>
          </w:p>
        </w:tc>
      </w:tr>
      <w:tr w:rsidR="003C0CFF">
        <w:tc>
          <w:tcPr>
            <w:tcW w:w="2400" w:type="dxa"/>
            <w:tcBorders>
              <w:top w:val="single" w:sz="1" w:space="0" w:color="AAAAAA"/>
              <w:left w:val="single" w:sz="1" w:space="0" w:color="AAAAAA"/>
              <w:bottom w:val="single" w:sz="1" w:space="0" w:color="AAAAAA"/>
              <w:right w:val="single" w:sz="1" w:space="0" w:color="AAAAAA"/>
            </w:tcBorders>
            <w:shd w:val="clear" w:color="auto" w:fill="EBF3FC"/>
            <w:tcMar>
              <w:top w:w="60" w:type="dxa"/>
              <w:left w:w="120" w:type="dxa"/>
              <w:bottom w:w="60" w:type="dxa"/>
              <w:right w:w="120" w:type="dxa"/>
            </w:tcMar>
          </w:tcPr>
          <w:p w:rsidR="003C0CFF" w:rsidRDefault="0094637A">
            <w:pPr>
              <w:jc w:val="center"/>
            </w:pPr>
            <w:r>
              <w:rPr>
                <w:rFonts w:cs="Arial"/>
                <w:sz w:val="20"/>
                <w:szCs w:val="20"/>
              </w:rPr>
              <w:t>Textiles / MMF</w:t>
            </w:r>
          </w:p>
        </w:tc>
        <w:tc>
          <w:tcPr>
            <w:tcW w:w="2200" w:type="dxa"/>
            <w:tcBorders>
              <w:top w:val="single" w:sz="1" w:space="0" w:color="AAAAAA"/>
              <w:left w:val="single" w:sz="1" w:space="0" w:color="AAAAAA"/>
              <w:bottom w:val="single" w:sz="1" w:space="0" w:color="AAAAAA"/>
              <w:right w:val="single" w:sz="1" w:space="0" w:color="AAAAAA"/>
            </w:tcBorders>
            <w:shd w:val="clear" w:color="auto" w:fill="EBF3FC"/>
            <w:tcMar>
              <w:top w:w="60" w:type="dxa"/>
              <w:left w:w="120" w:type="dxa"/>
              <w:bottom w:w="60" w:type="dxa"/>
              <w:right w:w="120" w:type="dxa"/>
            </w:tcMar>
          </w:tcPr>
          <w:p w:rsidR="003C0CFF" w:rsidRDefault="0094637A">
            <w:pPr>
              <w:jc w:val="center"/>
            </w:pPr>
            <w:r>
              <w:rPr>
                <w:rFonts w:cs="Arial"/>
                <w:sz w:val="20"/>
                <w:szCs w:val="20"/>
              </w:rPr>
              <w:t>~10,600</w:t>
            </w:r>
          </w:p>
        </w:tc>
        <w:tc>
          <w:tcPr>
            <w:tcW w:w="2200" w:type="dxa"/>
            <w:tcBorders>
              <w:top w:val="single" w:sz="1" w:space="0" w:color="AAAAAA"/>
              <w:left w:val="single" w:sz="1" w:space="0" w:color="AAAAAA"/>
              <w:bottom w:val="single" w:sz="1" w:space="0" w:color="AAAAAA"/>
              <w:right w:val="single" w:sz="1" w:space="0" w:color="AAAAAA"/>
            </w:tcBorders>
            <w:shd w:val="clear" w:color="auto" w:fill="EBF3FC"/>
            <w:tcMar>
              <w:top w:w="60" w:type="dxa"/>
              <w:left w:w="120" w:type="dxa"/>
              <w:bottom w:w="60" w:type="dxa"/>
              <w:right w:w="120" w:type="dxa"/>
            </w:tcMar>
          </w:tcPr>
          <w:p w:rsidR="003C0CFF" w:rsidRDefault="0094637A">
            <w:pPr>
              <w:jc w:val="center"/>
            </w:pPr>
            <w:r>
              <w:rPr>
                <w:rFonts w:cs="Arial"/>
                <w:sz w:val="20"/>
                <w:szCs w:val="20"/>
              </w:rPr>
              <w:t>~30,000</w:t>
            </w:r>
          </w:p>
        </w:tc>
        <w:tc>
          <w:tcPr>
            <w:tcW w:w="1560" w:type="dxa"/>
            <w:tcBorders>
              <w:top w:val="single" w:sz="1" w:space="0" w:color="AAAAAA"/>
              <w:left w:val="single" w:sz="1" w:space="0" w:color="AAAAAA"/>
              <w:bottom w:val="single" w:sz="1" w:space="0" w:color="AAAAAA"/>
              <w:right w:val="single" w:sz="1" w:space="0" w:color="AAAAAA"/>
            </w:tcBorders>
            <w:shd w:val="clear" w:color="auto" w:fill="EBF3FC"/>
            <w:tcMar>
              <w:top w:w="60" w:type="dxa"/>
              <w:left w:w="120" w:type="dxa"/>
              <w:bottom w:w="60" w:type="dxa"/>
              <w:right w:w="120" w:type="dxa"/>
            </w:tcMar>
          </w:tcPr>
          <w:p w:rsidR="003C0CFF" w:rsidRDefault="0094637A">
            <w:pPr>
              <w:jc w:val="center"/>
            </w:pPr>
            <w:r>
              <w:rPr>
                <w:rFonts w:cs="Arial"/>
                <w:sz w:val="20"/>
                <w:szCs w:val="20"/>
              </w:rPr>
              <w:t>~0.8</w:t>
            </w:r>
          </w:p>
        </w:tc>
      </w:tr>
      <w:tr w:rsidR="003C0CFF">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3C0CFF" w:rsidRDefault="0094637A">
            <w:pPr>
              <w:jc w:val="center"/>
            </w:pPr>
            <w:r>
              <w:rPr>
                <w:rFonts w:cs="Arial"/>
                <w:sz w:val="20"/>
                <w:szCs w:val="20"/>
              </w:rPr>
              <w:t>Auto &amp; Auto Components</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3C0CFF" w:rsidRDefault="0094637A">
            <w:pPr>
              <w:jc w:val="center"/>
            </w:pPr>
            <w:r>
              <w:rPr>
                <w:rFonts w:cs="Arial"/>
                <w:sz w:val="20"/>
                <w:szCs w:val="20"/>
              </w:rPr>
              <w:t>~25,000</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3C0CFF" w:rsidRDefault="0094637A">
            <w:pPr>
              <w:jc w:val="center"/>
            </w:pPr>
            <w:r>
              <w:rPr>
                <w:rFonts w:cs="Arial"/>
                <w:sz w:val="20"/>
                <w:szCs w:val="20"/>
              </w:rPr>
              <w:t>~1,50,000</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3C0CFF" w:rsidRDefault="0094637A">
            <w:pPr>
              <w:jc w:val="center"/>
            </w:pPr>
            <w:r>
              <w:rPr>
                <w:rFonts w:cs="Arial"/>
                <w:sz w:val="20"/>
                <w:szCs w:val="20"/>
              </w:rPr>
              <w:t>~1.0</w:t>
            </w:r>
          </w:p>
        </w:tc>
      </w:tr>
      <w:tr w:rsidR="003C0CFF">
        <w:tc>
          <w:tcPr>
            <w:tcW w:w="2400" w:type="dxa"/>
            <w:tcBorders>
              <w:top w:val="single" w:sz="1" w:space="0" w:color="AAAAAA"/>
              <w:left w:val="single" w:sz="1" w:space="0" w:color="AAAAAA"/>
              <w:bottom w:val="single" w:sz="1" w:space="0" w:color="AAAAAA"/>
              <w:right w:val="single" w:sz="1" w:space="0" w:color="AAAAAA"/>
            </w:tcBorders>
            <w:shd w:val="clear" w:color="auto" w:fill="EBF3FC"/>
            <w:tcMar>
              <w:top w:w="60" w:type="dxa"/>
              <w:left w:w="120" w:type="dxa"/>
              <w:bottom w:w="60" w:type="dxa"/>
              <w:right w:w="120" w:type="dxa"/>
            </w:tcMar>
          </w:tcPr>
          <w:p w:rsidR="003C0CFF" w:rsidRDefault="0094637A">
            <w:pPr>
              <w:jc w:val="center"/>
            </w:pPr>
            <w:r>
              <w:rPr>
                <w:rFonts w:cs="Arial"/>
                <w:sz w:val="20"/>
                <w:szCs w:val="20"/>
              </w:rPr>
              <w:t>Total (14 sectors)</w:t>
            </w:r>
          </w:p>
        </w:tc>
        <w:tc>
          <w:tcPr>
            <w:tcW w:w="2200" w:type="dxa"/>
            <w:tcBorders>
              <w:top w:val="single" w:sz="1" w:space="0" w:color="AAAAAA"/>
              <w:left w:val="single" w:sz="1" w:space="0" w:color="AAAAAA"/>
              <w:bottom w:val="single" w:sz="1" w:space="0" w:color="AAAAAA"/>
              <w:right w:val="single" w:sz="1" w:space="0" w:color="AAAAAA"/>
            </w:tcBorders>
            <w:shd w:val="clear" w:color="auto" w:fill="EBF3FC"/>
            <w:tcMar>
              <w:top w:w="60" w:type="dxa"/>
              <w:left w:w="120" w:type="dxa"/>
              <w:bottom w:w="60" w:type="dxa"/>
              <w:right w:w="120" w:type="dxa"/>
            </w:tcMar>
          </w:tcPr>
          <w:p w:rsidR="003C0CFF" w:rsidRDefault="0094637A">
            <w:pPr>
              <w:jc w:val="center"/>
            </w:pPr>
            <w:r>
              <w:rPr>
                <w:rFonts w:cs="Arial"/>
                <w:sz w:val="20"/>
                <w:szCs w:val="20"/>
              </w:rPr>
              <w:t>~1,76,000</w:t>
            </w:r>
          </w:p>
        </w:tc>
        <w:tc>
          <w:tcPr>
            <w:tcW w:w="2200" w:type="dxa"/>
            <w:tcBorders>
              <w:top w:val="single" w:sz="1" w:space="0" w:color="AAAAAA"/>
              <w:left w:val="single" w:sz="1" w:space="0" w:color="AAAAAA"/>
              <w:bottom w:val="single" w:sz="1" w:space="0" w:color="AAAAAA"/>
              <w:right w:val="single" w:sz="1" w:space="0" w:color="AAAAAA"/>
            </w:tcBorders>
            <w:shd w:val="clear" w:color="auto" w:fill="EBF3FC"/>
            <w:tcMar>
              <w:top w:w="60" w:type="dxa"/>
              <w:left w:w="120" w:type="dxa"/>
              <w:bottom w:w="60" w:type="dxa"/>
              <w:right w:w="120" w:type="dxa"/>
            </w:tcMar>
          </w:tcPr>
          <w:p w:rsidR="003C0CFF" w:rsidRDefault="0094637A">
            <w:pPr>
              <w:jc w:val="center"/>
            </w:pPr>
            <w:r>
              <w:rPr>
                <w:rFonts w:cs="Arial"/>
                <w:sz w:val="20"/>
                <w:szCs w:val="20"/>
              </w:rPr>
              <w:t>~5,25,000</w:t>
            </w:r>
          </w:p>
        </w:tc>
        <w:tc>
          <w:tcPr>
            <w:tcW w:w="1560" w:type="dxa"/>
            <w:tcBorders>
              <w:top w:val="single" w:sz="1" w:space="0" w:color="AAAAAA"/>
              <w:left w:val="single" w:sz="1" w:space="0" w:color="AAAAAA"/>
              <w:bottom w:val="single" w:sz="1" w:space="0" w:color="AAAAAA"/>
              <w:right w:val="single" w:sz="1" w:space="0" w:color="AAAAAA"/>
            </w:tcBorders>
            <w:shd w:val="clear" w:color="auto" w:fill="EBF3FC"/>
            <w:tcMar>
              <w:top w:w="60" w:type="dxa"/>
              <w:left w:w="120" w:type="dxa"/>
              <w:bottom w:w="60" w:type="dxa"/>
              <w:right w:w="120" w:type="dxa"/>
            </w:tcMar>
          </w:tcPr>
          <w:p w:rsidR="003C0CFF" w:rsidRDefault="0094637A">
            <w:pPr>
              <w:jc w:val="center"/>
            </w:pPr>
            <w:r>
              <w:rPr>
                <w:rFonts w:cs="Arial"/>
                <w:sz w:val="20"/>
                <w:szCs w:val="20"/>
              </w:rPr>
              <w:t>~8.5+</w:t>
            </w:r>
          </w:p>
        </w:tc>
      </w:tr>
    </w:tbl>
    <w:p w:rsidR="003C0CFF" w:rsidRDefault="003C0CFF"/>
    <w:p w:rsidR="003C0CFF" w:rsidRPr="00EA796C" w:rsidRDefault="00EA796C">
      <w:pPr>
        <w:pStyle w:val="Heading1"/>
        <w:pBdr>
          <w:bottom w:val="single" w:sz="6" w:space="1" w:color="1F3864"/>
        </w:pBdr>
        <w:rPr>
          <w:color w:val="000000" w:themeColor="text1"/>
        </w:rPr>
      </w:pPr>
      <w:r w:rsidRPr="00EA796C">
        <w:rPr>
          <w:color w:val="000000" w:themeColor="text1"/>
        </w:rPr>
        <w:t>6</w:t>
      </w:r>
      <w:r w:rsidR="0094637A" w:rsidRPr="00EA796C">
        <w:rPr>
          <w:color w:val="000000" w:themeColor="text1"/>
        </w:rPr>
        <w:t>. Risks and Challenges</w:t>
      </w:r>
    </w:p>
    <w:p w:rsidR="003C0CFF" w:rsidRDefault="0094637A">
      <w:pPr>
        <w:spacing w:before="80" w:after="80"/>
        <w:jc w:val="both"/>
      </w:pPr>
      <w:r>
        <w:rPr>
          <w:rFonts w:cs="Arial"/>
        </w:rPr>
        <w:t>Several risks are capable of disrupting the corporate earnings recovery trajectory in FY26.</w:t>
      </w:r>
    </w:p>
    <w:p w:rsidR="003C0CFF" w:rsidRDefault="0094637A">
      <w:pPr>
        <w:spacing w:before="80" w:after="80"/>
        <w:jc w:val="both"/>
      </w:pPr>
      <w:r>
        <w:rPr>
          <w:rFonts w:cs="Arial"/>
          <w:b/>
          <w:bCs/>
        </w:rPr>
        <w:t xml:space="preserve">Global Demand Uncertainty: </w:t>
      </w:r>
      <w:r>
        <w:rPr>
          <w:rFonts w:cs="Arial"/>
        </w:rPr>
        <w:t>US and European discretionary IT spending has been cautious. Any further slowdown in these markets would pressure IT sector revenue guidance. TCS noted that client spending decisions in BFSI and Retail verticals remained fragmented in Q3 FY25.</w:t>
      </w:r>
    </w:p>
    <w:p w:rsidR="003C0CFF" w:rsidRDefault="0094637A">
      <w:pPr>
        <w:spacing w:before="80" w:after="80"/>
        <w:jc w:val="both"/>
      </w:pPr>
      <w:r>
        <w:rPr>
          <w:rFonts w:cs="Arial"/>
          <w:b/>
          <w:bCs/>
        </w:rPr>
        <w:t xml:space="preserve">NIM Compression in Banking: </w:t>
      </w:r>
      <w:r>
        <w:rPr>
          <w:rFonts w:cs="Arial"/>
        </w:rPr>
        <w:t>While the RBI easing cycle is net positive for borrowers, the transmission timeline creates a dangerous window for banks: deposit rates reprice slowly downward, while loan rates are priced down faster in a competitive market. Net interest margins could compress a further 5–10 bps in H1 FY26 before stabilising.</w:t>
      </w:r>
    </w:p>
    <w:p w:rsidR="003C0CFF" w:rsidRDefault="0094637A">
      <w:pPr>
        <w:spacing w:before="80" w:after="80"/>
        <w:jc w:val="both"/>
      </w:pPr>
      <w:r>
        <w:rPr>
          <w:rFonts w:cs="Arial"/>
          <w:b/>
          <w:bCs/>
        </w:rPr>
        <w:t xml:space="preserve">Geopolitical and Commodity Risk: </w:t>
      </w:r>
      <w:r>
        <w:rPr>
          <w:rFonts w:cs="Arial"/>
        </w:rPr>
        <w:t>Middle East tensions and the Russia-Ukraine conflict create uncertainty in crude oil prices. India imports ~85% of its crude needs. A $20/</w:t>
      </w:r>
      <w:proofErr w:type="spellStart"/>
      <w:r>
        <w:rPr>
          <w:rFonts w:cs="Arial"/>
        </w:rPr>
        <w:t>bbl</w:t>
      </w:r>
      <w:proofErr w:type="spellEnd"/>
      <w:r>
        <w:rPr>
          <w:rFonts w:cs="Arial"/>
        </w:rPr>
        <w:t xml:space="preserve"> spike in crude prices would add roughly 40–50 bps to headline CPI and cut corporate margins across the manufacturing sector. RBI has projected CPI inflation at 3.7% for FY26, but commodity shocks are an upside risk.</w:t>
      </w:r>
    </w:p>
    <w:p w:rsidR="003C0CFF" w:rsidRDefault="0094637A">
      <w:pPr>
        <w:spacing w:before="80" w:after="80"/>
        <w:jc w:val="both"/>
      </w:pPr>
      <w:r>
        <w:rPr>
          <w:rFonts w:cs="Arial"/>
          <w:b/>
          <w:bCs/>
        </w:rPr>
        <w:t xml:space="preserve">Rural Demand Durability: </w:t>
      </w:r>
      <w:r>
        <w:rPr>
          <w:rFonts w:cs="Arial"/>
        </w:rPr>
        <w:t xml:space="preserve">Rural demand recovery has been a key positive in FY25. However, it is partly driven by government transfer payments and a good monsoon. If the FY26 monsoon </w:t>
      </w:r>
      <w:r>
        <w:rPr>
          <w:rFonts w:cs="Arial"/>
        </w:rPr>
        <w:lastRenderedPageBreak/>
        <w:t>disappoints or if food price volatility returns, rural income could drop sharply, removing a critical demand pillar for FMCG and two-wheelers.</w:t>
      </w:r>
    </w:p>
    <w:p w:rsidR="003C0CFF" w:rsidRDefault="0094637A">
      <w:pPr>
        <w:spacing w:before="80" w:after="80"/>
        <w:jc w:val="both"/>
      </w:pPr>
      <w:r>
        <w:rPr>
          <w:rFonts w:cs="Arial"/>
          <w:b/>
          <w:bCs/>
        </w:rPr>
        <w:t xml:space="preserve">Weak Private Capex: </w:t>
      </w:r>
      <w:r>
        <w:rPr>
          <w:rFonts w:cs="Arial"/>
        </w:rPr>
        <w:t>Government capex has been the engine of growth. Private sector capital investment has lagged, with capacity utilisation only recently crossing 75% — the threshold typically required to trigger fresh capex cycles. Until private investment picks up, the quality and sustainability of GDP growth remains a concern for earnings in capital goods and materials sectors.</w:t>
      </w:r>
    </w:p>
    <w:p w:rsidR="003C0CFF" w:rsidRDefault="0094637A">
      <w:pPr>
        <w:spacing w:before="80" w:after="80"/>
        <w:jc w:val="both"/>
      </w:pPr>
      <w:r>
        <w:rPr>
          <w:rFonts w:cs="Arial"/>
          <w:b/>
          <w:bCs/>
        </w:rPr>
        <w:t xml:space="preserve">Global Trade Disruptions: </w:t>
      </w:r>
      <w:r>
        <w:rPr>
          <w:rFonts w:cs="Arial"/>
        </w:rPr>
        <w:t>A 100 bps slowdown in global GDP growth can, ceteris paribus, pull India's growth down by 30 bps (RBI Financial Stability Report, June 2025). Given rising trade policy uncertainty, especially the impact of US tariff measures, India's export-linked sectors (IT, pharma, textiles) carry elevated risk.</w:t>
      </w:r>
    </w:p>
    <w:p w:rsidR="003C0CFF" w:rsidRDefault="003C0CFF"/>
    <w:p w:rsidR="003C0CFF" w:rsidRPr="00EA796C" w:rsidRDefault="00EA796C">
      <w:pPr>
        <w:pStyle w:val="Heading1"/>
        <w:pBdr>
          <w:bottom w:val="single" w:sz="6" w:space="1" w:color="1F3864"/>
        </w:pBdr>
        <w:rPr>
          <w:color w:val="000000" w:themeColor="text1"/>
        </w:rPr>
      </w:pPr>
      <w:r w:rsidRPr="00EA796C">
        <w:rPr>
          <w:color w:val="000000" w:themeColor="text1"/>
        </w:rPr>
        <w:t>7</w:t>
      </w:r>
      <w:r w:rsidR="0094637A" w:rsidRPr="00EA796C">
        <w:rPr>
          <w:color w:val="000000" w:themeColor="text1"/>
        </w:rPr>
        <w:t>. Recommendations</w:t>
      </w:r>
    </w:p>
    <w:p w:rsidR="003C0CFF" w:rsidRDefault="0094637A">
      <w:pPr>
        <w:spacing w:before="80" w:after="80"/>
        <w:jc w:val="both"/>
      </w:pPr>
      <w:r>
        <w:rPr>
          <w:rFonts w:cs="Arial"/>
        </w:rPr>
        <w:t>Based on the data and analysis in this report, the following recommendations are made to investors, analysts, and policymakers tracking India's corporate earnings cycle.</w:t>
      </w:r>
    </w:p>
    <w:p w:rsidR="003C0CFF" w:rsidRDefault="0094637A">
      <w:pPr>
        <w:spacing w:before="80" w:after="80"/>
        <w:jc w:val="both"/>
      </w:pPr>
      <w:r>
        <w:rPr>
          <w:rFonts w:cs="Arial"/>
          <w:b/>
          <w:bCs/>
        </w:rPr>
        <w:t xml:space="preserve">1. Overweight BFSI, particularly PSU Banks and Quality NBFCs: </w:t>
      </w:r>
      <w:r>
        <w:rPr>
          <w:rFonts w:cs="Arial"/>
        </w:rPr>
        <w:t>The NPA clean-up cycle in PSU banks is largely complete. With the RBI now cutting rates, credit growth should accelerate in H2 FY26. Net NPA ratios at 0.2–0.5% across most PSU banks represent a multi-year best. The risk-reward appears favourable.</w:t>
      </w:r>
    </w:p>
    <w:p w:rsidR="003C0CFF" w:rsidRDefault="0094637A">
      <w:pPr>
        <w:spacing w:before="80" w:after="80"/>
        <w:jc w:val="both"/>
      </w:pPr>
      <w:r>
        <w:rPr>
          <w:rFonts w:cs="Arial"/>
          <w:b/>
          <w:bCs/>
        </w:rPr>
        <w:t xml:space="preserve">2. Selective IT: Prefer Large Deals over Volume: </w:t>
      </w:r>
      <w:r>
        <w:rPr>
          <w:rFonts w:cs="Arial"/>
        </w:rPr>
        <w:t>Infosys and TCS are better positioned than mid-tier IT companies in the current environment. Infosys' net-new TCV of 63% and record FCF point to execution quality, not just volume. Avoid IT companies heavily dependent on discretionary BFSI spending in Europe.</w:t>
      </w:r>
    </w:p>
    <w:p w:rsidR="003C0CFF" w:rsidRDefault="0094637A">
      <w:pPr>
        <w:spacing w:before="80" w:after="80"/>
        <w:jc w:val="both"/>
      </w:pPr>
      <w:r>
        <w:rPr>
          <w:rFonts w:cs="Arial"/>
          <w:b/>
          <w:bCs/>
        </w:rPr>
        <w:t xml:space="preserve">3. FMCG: Wait for Urban Demand Confirmation: </w:t>
      </w:r>
      <w:r>
        <w:rPr>
          <w:rFonts w:cs="Arial"/>
        </w:rPr>
        <w:t>ITC and HUL trade at premium valuations for a sector with 2–4% volume growth. The income tax relief effective FY26 should boost urban discretionary spending from Q2 FY26 onwards. Consider accumulating FMCG only after Q1 FY26 results confirm a volume re-acceleration trend.</w:t>
      </w:r>
    </w:p>
    <w:p w:rsidR="003C0CFF" w:rsidRDefault="0094637A">
      <w:pPr>
        <w:spacing w:before="80" w:after="80"/>
        <w:jc w:val="both"/>
      </w:pPr>
      <w:r>
        <w:rPr>
          <w:rFonts w:cs="Arial"/>
          <w:b/>
          <w:bCs/>
        </w:rPr>
        <w:t xml:space="preserve">4. Reliance Industries: Monitor O2C Recovery: </w:t>
      </w:r>
      <w:proofErr w:type="spellStart"/>
      <w:r>
        <w:rPr>
          <w:rFonts w:cs="Arial"/>
        </w:rPr>
        <w:t>Jio</w:t>
      </w:r>
      <w:proofErr w:type="spellEnd"/>
      <w:r>
        <w:rPr>
          <w:rFonts w:cs="Arial"/>
        </w:rPr>
        <w:t xml:space="preserve"> and Retail are strong engines, but they are already well-priced by the market. The real upside surprise for RIL would be a refining margin recovery. Global refining capacity additions are decelerating, and by H2 FY26, a $7–9/</w:t>
      </w:r>
      <w:proofErr w:type="spellStart"/>
      <w:r>
        <w:rPr>
          <w:rFonts w:cs="Arial"/>
        </w:rPr>
        <w:t>bbl</w:t>
      </w:r>
      <w:proofErr w:type="spellEnd"/>
      <w:r>
        <w:rPr>
          <w:rFonts w:cs="Arial"/>
        </w:rPr>
        <w:t xml:space="preserve"> Singapore GRM is plausible, which would add ₹4,000–6,000 crore to annual EBITDA.</w:t>
      </w:r>
    </w:p>
    <w:p w:rsidR="003C0CFF" w:rsidRDefault="0094637A">
      <w:pPr>
        <w:spacing w:before="80" w:after="80"/>
        <w:jc w:val="both"/>
      </w:pPr>
      <w:r>
        <w:rPr>
          <w:rFonts w:cs="Arial"/>
          <w:b/>
          <w:bCs/>
        </w:rPr>
        <w:t xml:space="preserve">5. Policy: Accelerate Private Capex Incentives: </w:t>
      </w:r>
      <w:r>
        <w:rPr>
          <w:rFonts w:cs="Arial"/>
        </w:rPr>
        <w:t>Government capex alone cannot sustain 7%+ GDP growth. Policymakers should consider extending PLI to services (data centres, logistics), reducing withholding taxes on equipment imports, and simplifying land acquisition for new manufacturing clusters.</w:t>
      </w:r>
    </w:p>
    <w:p w:rsidR="003C0CFF" w:rsidRDefault="003C0CFF"/>
    <w:p w:rsidR="003C0CFF" w:rsidRPr="00EA796C" w:rsidRDefault="00EA796C">
      <w:pPr>
        <w:pStyle w:val="Heading1"/>
        <w:pBdr>
          <w:bottom w:val="single" w:sz="6" w:space="1" w:color="1F3864"/>
        </w:pBdr>
        <w:rPr>
          <w:color w:val="000000" w:themeColor="text1"/>
        </w:rPr>
      </w:pPr>
      <w:r w:rsidRPr="00EA796C">
        <w:rPr>
          <w:color w:val="000000" w:themeColor="text1"/>
        </w:rPr>
        <w:t>8</w:t>
      </w:r>
      <w:r w:rsidR="0094637A" w:rsidRPr="00EA796C">
        <w:rPr>
          <w:color w:val="000000" w:themeColor="text1"/>
        </w:rPr>
        <w:t>. Conclusion and Predictions</w:t>
      </w:r>
    </w:p>
    <w:p w:rsidR="003C0CFF" w:rsidRDefault="0094637A">
      <w:pPr>
        <w:spacing w:before="80" w:after="80"/>
        <w:jc w:val="both"/>
      </w:pPr>
      <w:r>
        <w:rPr>
          <w:rFonts w:cs="Arial"/>
        </w:rPr>
        <w:t>Q3 FY25 marks a watershed of sorts for India Inc. — not a strong earnings season, but a bottoming-out. Revenue growth is trending upward from the multi-year lows of Q1 and Q2 FY25. PAT margins are expanding even before a revenue recovery takes hold. The RBI is now adding monetary fuel to a fiscal-led recovery. These conditions suggest that FY26 earnings growth is likely to be the best since FY22.</w:t>
      </w:r>
    </w:p>
    <w:p w:rsidR="003C0CFF" w:rsidRPr="00EA796C" w:rsidRDefault="0094637A">
      <w:pPr>
        <w:pStyle w:val="Heading2"/>
        <w:rPr>
          <w:color w:val="000000" w:themeColor="text1"/>
        </w:rPr>
      </w:pPr>
      <w:r w:rsidRPr="00EA796C">
        <w:rPr>
          <w:color w:val="000000" w:themeColor="text1"/>
        </w:rPr>
        <w:t>Base Case (60% probability)</w:t>
      </w:r>
    </w:p>
    <w:p w:rsidR="003C0CFF" w:rsidRDefault="0094637A">
      <w:pPr>
        <w:spacing w:before="80" w:after="80"/>
        <w:jc w:val="both"/>
      </w:pPr>
      <w:r>
        <w:rPr>
          <w:rFonts w:cs="Arial"/>
        </w:rPr>
        <w:lastRenderedPageBreak/>
        <w:t>Nifty 50 EPS grows 12–14% in FY26. BFSI drives 18% earnings growth supported by RBI rate cuts. IT delivers 8–10% revenue growth in constant currency. FMCG volumes recover to 5–7% by Q2 FY26. GDP sustains at 6.5%. CPI stays at 3.7–4.2%.</w:t>
      </w:r>
    </w:p>
    <w:p w:rsidR="003C0CFF" w:rsidRPr="00EA796C" w:rsidRDefault="0094637A">
      <w:pPr>
        <w:pStyle w:val="Heading2"/>
        <w:rPr>
          <w:color w:val="000000" w:themeColor="text1"/>
        </w:rPr>
      </w:pPr>
      <w:r w:rsidRPr="00EA796C">
        <w:rPr>
          <w:color w:val="000000" w:themeColor="text1"/>
        </w:rPr>
        <w:t>Bull Case (25% probability)</w:t>
      </w:r>
    </w:p>
    <w:p w:rsidR="003C0CFF" w:rsidRDefault="0094637A">
      <w:pPr>
        <w:spacing w:before="80" w:after="80"/>
        <w:jc w:val="both"/>
      </w:pPr>
      <w:r>
        <w:rPr>
          <w:rFonts w:cs="Arial"/>
        </w:rPr>
        <w:t>AI-led deal acceleration pushes IT revenue growth to 12–14%. Refining margins recover to $8–10/bbl. Rural demand stays strong through a second consecutive good monsoon. PLI-driven manufacturing exports accelerate. Nifty 50 EPS grows 18–20% in FY26. GDP could touch 7.0%.</w:t>
      </w:r>
    </w:p>
    <w:p w:rsidR="003C0CFF" w:rsidRPr="00EA796C" w:rsidRDefault="0094637A">
      <w:pPr>
        <w:pStyle w:val="Heading2"/>
        <w:rPr>
          <w:color w:val="000000" w:themeColor="text1"/>
        </w:rPr>
      </w:pPr>
      <w:r w:rsidRPr="00EA796C">
        <w:rPr>
          <w:color w:val="000000" w:themeColor="text1"/>
        </w:rPr>
        <w:t>Bear Case (15% probability)</w:t>
      </w:r>
    </w:p>
    <w:p w:rsidR="003C0CFF" w:rsidRDefault="0094637A">
      <w:pPr>
        <w:spacing w:before="80" w:after="80"/>
        <w:jc w:val="both"/>
      </w:pPr>
      <w:r>
        <w:rPr>
          <w:rFonts w:cs="Arial"/>
        </w:rPr>
        <w:t>Crude oil spikes above $100/</w:t>
      </w:r>
      <w:proofErr w:type="spellStart"/>
      <w:r>
        <w:rPr>
          <w:rFonts w:cs="Arial"/>
        </w:rPr>
        <w:t>bbl</w:t>
      </w:r>
      <w:proofErr w:type="spellEnd"/>
      <w:r>
        <w:rPr>
          <w:rFonts w:cs="Arial"/>
        </w:rPr>
        <w:t xml:space="preserve"> on Middle East escalation. Global recession risk rises on US tariff escalation. IT deal closures slow. HDFC Bank NPA ratio rises to 1.8%+. Nifty 50 EPS grows only 5–7%. GDP slows to 5.8–6.0%.</w:t>
      </w:r>
    </w:p>
    <w:p w:rsidR="003C0CFF" w:rsidRDefault="0094637A">
      <w:pPr>
        <w:spacing w:before="80" w:after="80"/>
        <w:jc w:val="both"/>
      </w:pPr>
      <w:r>
        <w:rPr>
          <w:rFonts w:cs="Arial"/>
          <w:b/>
          <w:bCs/>
        </w:rPr>
        <w:t xml:space="preserve">Key Trigger to Watch: </w:t>
      </w:r>
      <w:r>
        <w:rPr>
          <w:rFonts w:cs="Arial"/>
        </w:rPr>
        <w:t>The single most important data point for H2 FY25 earnings outlook is Infosys' Q4 FY25 result (April 2025). If it revises FY26 guidance above 6% in constant currency, it signals that global IT budget cycles are healing faster than assumed. That would likely trigger a broad sector re-rating — a potential catalyst the market is currently overlooking.</w:t>
      </w:r>
    </w:p>
    <w:p w:rsidR="003C0CFF" w:rsidRDefault="003C0CFF"/>
    <w:p w:rsidR="003C0CFF" w:rsidRPr="00EA796C" w:rsidRDefault="00EA796C">
      <w:pPr>
        <w:pStyle w:val="Heading1"/>
        <w:pBdr>
          <w:bottom w:val="single" w:sz="6" w:space="1" w:color="1F3864"/>
        </w:pBdr>
        <w:rPr>
          <w:color w:val="000000" w:themeColor="text1"/>
        </w:rPr>
      </w:pPr>
      <w:r w:rsidRPr="00EA796C">
        <w:rPr>
          <w:color w:val="000000" w:themeColor="text1"/>
        </w:rPr>
        <w:t>9</w:t>
      </w:r>
      <w:r w:rsidR="0094637A" w:rsidRPr="00EA796C">
        <w:rPr>
          <w:color w:val="000000" w:themeColor="text1"/>
        </w:rPr>
        <w:t xml:space="preserve"> Methodology and Assumptions</w:t>
      </w:r>
    </w:p>
    <w:p w:rsidR="00AD694D" w:rsidRPr="00AD694D" w:rsidRDefault="0094637A" w:rsidP="00AD694D">
      <w:pPr>
        <w:spacing w:before="200" w:after="200"/>
        <w:jc w:val="both"/>
        <w:rPr>
          <w:rStyle w:val="Emphasis"/>
          <w:i w:val="0"/>
          <w:iCs w:val="0"/>
        </w:rPr>
      </w:pPr>
      <w:r>
        <w:rPr>
          <w:rFonts w:cs="Arial"/>
        </w:rPr>
        <w:t>This report is based on primary data sourced from: (a) official quarterly financial filings of ITC Limited, Infosys, TCS, Reliance Industries, and HDFC Bank, as submitted to BSE/NSE under SEBI LODR Regulations, 2015; (b) RBI Financial Stability Report, June</w:t>
      </w:r>
      <w:r w:rsidR="00A04FC8">
        <w:rPr>
          <w:rFonts w:cs="Arial"/>
        </w:rPr>
        <w:t>/Dec</w:t>
      </w:r>
      <w:r>
        <w:rPr>
          <w:rFonts w:cs="Arial"/>
        </w:rPr>
        <w:t xml:space="preserve"> 2025; (c) Economic Survey of India 2024-25 (PIB/Ministry of Finance); (d) PIB press releases on PLI scheme, government capex, and India's GDP forecast; and (e) reported results aggregates from Business Standard and </w:t>
      </w:r>
      <w:proofErr w:type="spellStart"/>
      <w:r>
        <w:rPr>
          <w:rFonts w:cs="Arial"/>
        </w:rPr>
        <w:t>Upstox</w:t>
      </w:r>
      <w:proofErr w:type="spellEnd"/>
      <w:r>
        <w:rPr>
          <w:rFonts w:cs="Arial"/>
        </w:rPr>
        <w:t xml:space="preserve"> Research covering 1,900–3,618 listed </w:t>
      </w:r>
      <w:proofErr w:type="spellStart"/>
      <w:r>
        <w:rPr>
          <w:rFonts w:cs="Arial"/>
        </w:rPr>
        <w:t>companies.</w:t>
      </w:r>
      <w:r w:rsidR="00AD694D" w:rsidRPr="00AD694D">
        <w:rPr>
          <w:rStyle w:val="Emphasis"/>
          <w:i w:val="0"/>
          <w:iCs w:val="0"/>
        </w:rPr>
        <w:t>This</w:t>
      </w:r>
      <w:proofErr w:type="spellEnd"/>
      <w:r w:rsidR="00AD694D" w:rsidRPr="00AD694D">
        <w:rPr>
          <w:rStyle w:val="Emphasis"/>
          <w:i w:val="0"/>
          <w:iCs w:val="0"/>
        </w:rPr>
        <w:t xml:space="preserve"> report covers Q3 FY25 (October–December 2024), being the most recently concl</w:t>
      </w:r>
      <w:r w:rsidR="00AD694D">
        <w:rPr>
          <w:rStyle w:val="Emphasis"/>
          <w:i w:val="0"/>
          <w:iCs w:val="0"/>
        </w:rPr>
        <w:t xml:space="preserve">uded quarter for which </w:t>
      </w:r>
      <w:proofErr w:type="spellStart"/>
      <w:r w:rsidR="00AD694D">
        <w:rPr>
          <w:rStyle w:val="Emphasis"/>
          <w:i w:val="0"/>
          <w:iCs w:val="0"/>
        </w:rPr>
        <w:t>complete</w:t>
      </w:r>
      <w:r w:rsidR="00AD694D" w:rsidRPr="00AD694D">
        <w:rPr>
          <w:rStyle w:val="Emphasis"/>
          <w:i w:val="0"/>
          <w:iCs w:val="0"/>
        </w:rPr>
        <w:t>audited</w:t>
      </w:r>
      <w:proofErr w:type="spellEnd"/>
      <w:r w:rsidR="00AD694D" w:rsidRPr="00AD694D">
        <w:rPr>
          <w:rStyle w:val="Emphasis"/>
          <w:i w:val="0"/>
          <w:iCs w:val="0"/>
        </w:rPr>
        <w:t>/reviewed financial results were ava</w:t>
      </w:r>
      <w:r w:rsidR="00AD694D">
        <w:rPr>
          <w:rStyle w:val="Emphasis"/>
          <w:i w:val="0"/>
          <w:iCs w:val="0"/>
        </w:rPr>
        <w:t>ilable at the time of research.</w:t>
      </w:r>
    </w:p>
    <w:p w:rsidR="003C0CFF" w:rsidRDefault="0094637A">
      <w:pPr>
        <w:spacing w:before="80" w:after="80"/>
        <w:jc w:val="both"/>
      </w:pPr>
      <w:r>
        <w:rPr>
          <w:rFonts w:cs="Arial"/>
        </w:rPr>
        <w:t>Key assumptions: (1) GDP figures used are CSO advance estimates. (2</w:t>
      </w:r>
      <w:r w:rsidR="00EA796C">
        <w:rPr>
          <w:rFonts w:cs="Arial"/>
        </w:rPr>
        <w:t xml:space="preserve">) </w:t>
      </w:r>
      <w:r w:rsidR="00EA796C">
        <w:t>Financial data used is on a consolidated basis for Reliance Industries, Infosys, and TCS; and on a standalone basis for HDFC Bank and ITC, consistent with standard reporting practice for each company.</w:t>
      </w:r>
      <w:r>
        <w:rPr>
          <w:rFonts w:cs="Arial"/>
        </w:rPr>
        <w:t xml:space="preserve"> (3) YoY comparisons for HDFC Bank are on a merger-adjusted basis. (4) Sector-level aggregates are based on weighted averages reported by market research sources. (5) Forward estimates in the scenario analysis are the author's own, not sourced from any broker note. (6) Currency used throughout is Indian Rupee (INR) unless otherwise noted.</w:t>
      </w:r>
    </w:p>
    <w:p w:rsidR="003C0CFF" w:rsidRPr="005D3724" w:rsidRDefault="0094637A" w:rsidP="005D3724">
      <w:pPr>
        <w:spacing w:before="200" w:after="200"/>
        <w:rPr>
          <w:i/>
          <w:iCs/>
        </w:rPr>
      </w:pPr>
      <w:r>
        <w:rPr>
          <w:rFonts w:cs="Arial"/>
        </w:rPr>
        <w:t>Limitations: This report does not cover micro-cap or unlis</w:t>
      </w:r>
      <w:r w:rsidR="005D3724">
        <w:rPr>
          <w:rFonts w:cs="Arial"/>
        </w:rPr>
        <w:t xml:space="preserve">ted companies. </w:t>
      </w:r>
      <w:r w:rsidR="005D3724" w:rsidRPr="005D3724">
        <w:rPr>
          <w:rStyle w:val="Emphasis"/>
          <w:i w:val="0"/>
          <w:iCs w:val="0"/>
        </w:rPr>
        <w:t>This report covers Q3 FY25 (October–December 2024), being the most recently concluded quarter for which complete audited/reviewed financial results were ava</w:t>
      </w:r>
      <w:r w:rsidR="005D3724">
        <w:rPr>
          <w:rStyle w:val="Emphasis"/>
          <w:i w:val="0"/>
          <w:iCs w:val="0"/>
        </w:rPr>
        <w:t xml:space="preserve">ilable at the time of </w:t>
      </w:r>
      <w:proofErr w:type="spellStart"/>
      <w:proofErr w:type="gramStart"/>
      <w:r w:rsidR="005D3724">
        <w:rPr>
          <w:rStyle w:val="Emphasis"/>
          <w:i w:val="0"/>
          <w:iCs w:val="0"/>
        </w:rPr>
        <w:t>research,</w:t>
      </w:r>
      <w:r>
        <w:rPr>
          <w:rFonts w:cs="Arial"/>
        </w:rPr>
        <w:t>results</w:t>
      </w:r>
      <w:proofErr w:type="spellEnd"/>
      <w:proofErr w:type="gramEnd"/>
      <w:r>
        <w:rPr>
          <w:rFonts w:cs="Arial"/>
        </w:rPr>
        <w:t xml:space="preserve"> may revise the trajectory. Analyst insights and scenario projections represent the author's independent analysis and are not investment advice.</w:t>
      </w:r>
    </w:p>
    <w:p w:rsidR="003C0CFF" w:rsidRDefault="003C0CFF"/>
    <w:p w:rsidR="003C0CFF" w:rsidRPr="00EA796C" w:rsidRDefault="00EA796C">
      <w:pPr>
        <w:pStyle w:val="Heading1"/>
        <w:pBdr>
          <w:bottom w:val="single" w:sz="6" w:space="1" w:color="1F3864"/>
        </w:pBdr>
        <w:rPr>
          <w:color w:val="000000" w:themeColor="text1"/>
        </w:rPr>
      </w:pPr>
      <w:r w:rsidRPr="00EA796C">
        <w:rPr>
          <w:color w:val="000000" w:themeColor="text1"/>
        </w:rPr>
        <w:t>10</w:t>
      </w:r>
      <w:r w:rsidR="0094637A" w:rsidRPr="00EA796C">
        <w:rPr>
          <w:color w:val="000000" w:themeColor="text1"/>
        </w:rPr>
        <w:t>. SEBI Compliance and Disclaimer</w:t>
      </w:r>
    </w:p>
    <w:p w:rsidR="003C0CFF" w:rsidRPr="00EA796C" w:rsidRDefault="00EA796C">
      <w:pPr>
        <w:pStyle w:val="Heading2"/>
        <w:rPr>
          <w:color w:val="000000" w:themeColor="text1"/>
        </w:rPr>
      </w:pPr>
      <w:r w:rsidRPr="00EA796C">
        <w:rPr>
          <w:color w:val="000000" w:themeColor="text1"/>
        </w:rPr>
        <w:t>10</w:t>
      </w:r>
      <w:r w:rsidR="0094637A" w:rsidRPr="00EA796C">
        <w:rPr>
          <w:color w:val="000000" w:themeColor="text1"/>
        </w:rPr>
        <w:t>.1 SEBI LODR – Quarterly Financial Results Disclosure F</w:t>
      </w:r>
      <w:bookmarkStart w:id="0" w:name="_GoBack"/>
      <w:bookmarkEnd w:id="0"/>
      <w:r w:rsidR="0094637A" w:rsidRPr="00EA796C">
        <w:rPr>
          <w:color w:val="000000" w:themeColor="text1"/>
        </w:rPr>
        <w:t>ramework</w:t>
      </w:r>
    </w:p>
    <w:p w:rsidR="003C0CFF" w:rsidRDefault="0094637A">
      <w:pPr>
        <w:spacing w:before="80" w:after="80"/>
        <w:jc w:val="both"/>
      </w:pPr>
      <w:r>
        <w:rPr>
          <w:rFonts w:cs="Arial"/>
        </w:rPr>
        <w:lastRenderedPageBreak/>
        <w:t>Under the Securities and Exchange Board of India (Listing Obligations and Disclosure Requirements) Regulations, 2015 (SEBI LODR), every company with listed securities on a recognized Indian stock exchange is mandated to disclose quarterly and annual financial results in a standardized format. The key provisions directly relevant to this report are:</w:t>
      </w:r>
    </w:p>
    <w:p w:rsidR="003C0CFF" w:rsidRDefault="0094637A">
      <w:pPr>
        <w:spacing w:before="80" w:after="80"/>
        <w:jc w:val="both"/>
      </w:pPr>
      <w:r>
        <w:rPr>
          <w:rFonts w:cs="Arial"/>
          <w:b/>
          <w:bCs/>
        </w:rPr>
        <w:t xml:space="preserve">Regulation 33 – Financial Results: </w:t>
      </w:r>
      <w:r>
        <w:rPr>
          <w:rFonts w:cs="Arial"/>
        </w:rPr>
        <w:t>Listed entities must submit quarterly financial results within 45 days of the end of each quarter (60 days for annual results). Results must be accompanied by a Limited Review Report from the statutory auditor for quarterly filings and a full Audit Report for annual filings.</w:t>
      </w:r>
    </w:p>
    <w:p w:rsidR="003C0CFF" w:rsidRDefault="0094637A">
      <w:pPr>
        <w:spacing w:before="80" w:after="80"/>
        <w:jc w:val="both"/>
      </w:pPr>
      <w:r>
        <w:rPr>
          <w:rFonts w:cs="Arial"/>
          <w:b/>
          <w:bCs/>
        </w:rPr>
        <w:t xml:space="preserve">Regulation 47 – Publication: </w:t>
      </w:r>
      <w:r>
        <w:rPr>
          <w:rFonts w:cs="Arial"/>
        </w:rPr>
        <w:t>Financial results must be published in at least one English-language daily newspaper and one vernacular-language daily, and simultaneously posted on the company website and the stock exchange platform.</w:t>
      </w:r>
    </w:p>
    <w:p w:rsidR="003C0CFF" w:rsidRDefault="0094637A">
      <w:pPr>
        <w:spacing w:before="80" w:after="80"/>
        <w:jc w:val="both"/>
      </w:pPr>
      <w:r>
        <w:rPr>
          <w:rFonts w:cs="Arial"/>
          <w:b/>
          <w:bCs/>
        </w:rPr>
        <w:t xml:space="preserve">Trading Window Closure: </w:t>
      </w:r>
      <w:r>
        <w:rPr>
          <w:rFonts w:cs="Arial"/>
        </w:rPr>
        <w:t>Under the SEBI (Prohibition of Insider Trading) Regulations, 2015, the trading window for designated persons and their relatives must remain closed from the closure of each financial quarter until 48 hours after financial results are publicly declared. This prevents insider trading based on unpublished price-sensitive information (UPSI).</w:t>
      </w:r>
    </w:p>
    <w:p w:rsidR="003C0CFF" w:rsidRDefault="0094637A">
      <w:pPr>
        <w:spacing w:before="80" w:after="80"/>
        <w:jc w:val="both"/>
      </w:pPr>
      <w:r>
        <w:rPr>
          <w:rFonts w:cs="Arial"/>
          <w:b/>
          <w:bCs/>
        </w:rPr>
        <w:t xml:space="preserve">Regulation 23 – Related Party Transactions: </w:t>
      </w:r>
      <w:r>
        <w:rPr>
          <w:rFonts w:cs="Arial"/>
        </w:rPr>
        <w:t>Any related party transaction above the materiality threshold must be disclosed and approved by the Audit Committee. Quarterly RPT disclosures are an integral part of the integrated compliance filing.</w:t>
      </w:r>
    </w:p>
    <w:p w:rsidR="003C0CFF" w:rsidRDefault="0094637A">
      <w:pPr>
        <w:spacing w:before="80" w:after="80"/>
        <w:jc w:val="both"/>
      </w:pPr>
      <w:r>
        <w:rPr>
          <w:rFonts w:cs="Arial"/>
          <w:b/>
          <w:bCs/>
        </w:rPr>
        <w:t xml:space="preserve">XBRL Reporting: </w:t>
      </w:r>
      <w:r>
        <w:rPr>
          <w:rFonts w:cs="Arial"/>
        </w:rPr>
        <w:t xml:space="preserve">All financial result filings must be submitted in the </w:t>
      </w:r>
      <w:proofErr w:type="spellStart"/>
      <w:r>
        <w:rPr>
          <w:rFonts w:cs="Arial"/>
        </w:rPr>
        <w:t>eXtensible</w:t>
      </w:r>
      <w:proofErr w:type="spellEnd"/>
      <w:r>
        <w:rPr>
          <w:rFonts w:cs="Arial"/>
        </w:rPr>
        <w:t xml:space="preserve"> Business Reporting Language (XBRL) format, ensuring machine-readable, standardized data that enables investor comparison across companies and quarters.</w:t>
      </w:r>
    </w:p>
    <w:p w:rsidR="003C0CFF" w:rsidRPr="00EA796C" w:rsidRDefault="00EA796C">
      <w:pPr>
        <w:pStyle w:val="Heading2"/>
        <w:rPr>
          <w:color w:val="000000" w:themeColor="text1"/>
        </w:rPr>
      </w:pPr>
      <w:r w:rsidRPr="00EA796C">
        <w:rPr>
          <w:color w:val="000000" w:themeColor="text1"/>
        </w:rPr>
        <w:t>10</w:t>
      </w:r>
      <w:r w:rsidR="0094637A" w:rsidRPr="00EA796C">
        <w:rPr>
          <w:color w:val="000000" w:themeColor="text1"/>
        </w:rPr>
        <w:t>.2 SEBI Investor Protection Provisions</w:t>
      </w:r>
    </w:p>
    <w:p w:rsidR="003C0CFF" w:rsidRDefault="0094637A">
      <w:pPr>
        <w:spacing w:before="80" w:after="80"/>
        <w:jc w:val="both"/>
      </w:pPr>
      <w:r>
        <w:rPr>
          <w:rFonts w:cs="Arial"/>
          <w:b/>
          <w:bCs/>
        </w:rPr>
        <w:t xml:space="preserve">SEBI SCORES Platform: </w:t>
      </w:r>
      <w:r>
        <w:rPr>
          <w:rFonts w:cs="Arial"/>
        </w:rPr>
        <w:t>SEBI has established the Securities and Exchange Board of India Complaints Redress System (SCORES) — an online platform (scores.gov.in) for investors to lodge and track complaints against listed companies, brokers, mutual funds, and other registered intermediaries. Complaints must be first addressed by the entity within 21 days. Unresolved complaints are escalated to SEBI for action.</w:t>
      </w:r>
    </w:p>
    <w:p w:rsidR="003C0CFF" w:rsidRDefault="0094637A">
      <w:pPr>
        <w:spacing w:before="80" w:after="80"/>
        <w:jc w:val="both"/>
      </w:pPr>
      <w:r>
        <w:rPr>
          <w:rFonts w:cs="Arial"/>
          <w:b/>
          <w:bCs/>
        </w:rPr>
        <w:t xml:space="preserve">Investor Protection Fund: </w:t>
      </w:r>
      <w:r>
        <w:rPr>
          <w:rFonts w:cs="Arial"/>
        </w:rPr>
        <w:t>Both NSE and BSE maintain Investor Protection Funds (IPFs) funded by member brokers and exchange levies. These funds compensate investors in cases of broker default and are a key pillar of market confidence.</w:t>
      </w:r>
    </w:p>
    <w:p w:rsidR="003C0CFF" w:rsidRPr="00EA796C" w:rsidRDefault="00EA796C">
      <w:pPr>
        <w:pStyle w:val="Heading2"/>
        <w:rPr>
          <w:color w:val="000000" w:themeColor="text1"/>
        </w:rPr>
      </w:pPr>
      <w:r w:rsidRPr="00EA796C">
        <w:rPr>
          <w:color w:val="000000" w:themeColor="text1"/>
        </w:rPr>
        <w:t>10</w:t>
      </w:r>
      <w:r w:rsidR="0094637A" w:rsidRPr="00EA796C">
        <w:rPr>
          <w:color w:val="000000" w:themeColor="text1"/>
        </w:rPr>
        <w:t>.3 SEBI SCORES Disclaimer</w:t>
      </w:r>
    </w:p>
    <w:p w:rsidR="003C0CFF" w:rsidRDefault="0094637A">
      <w:pPr>
        <w:spacing w:before="80" w:after="80"/>
        <w:jc w:val="both"/>
      </w:pPr>
      <w:r>
        <w:rPr>
          <w:rFonts w:cs="Arial"/>
        </w:rPr>
        <w:t>SEBI SCORES Disclaimer: This report is prepared for educational and research purpo</w:t>
      </w:r>
      <w:r w:rsidR="00EA796C">
        <w:rPr>
          <w:rFonts w:cs="Arial"/>
        </w:rPr>
        <w:t>ses only, as part of an</w:t>
      </w:r>
      <w:r>
        <w:rPr>
          <w:rFonts w:cs="Arial"/>
        </w:rPr>
        <w:t xml:space="preserve"> internship program. It does not constitute investment advice, a solicitation to buy or sell securities, or a financial recommendation of any kind. Past performance of any company or sector mentioned in this report is not indicative of future results. The author is not a SEBI-registered investment advisor, research analyst, or portfolio manager. Readers should independently verify all information before making any investment decision. For grievances related to listed securities, investors may file complaints on the SEBI SCORES portal at https://scores.gov.in. This report has not been filed with or approved by SEBI. The views expressed are purely the author's own analytical assessment based on publicly available information.</w:t>
      </w:r>
    </w:p>
    <w:p w:rsidR="003C0CFF" w:rsidRDefault="003C0CFF"/>
    <w:p w:rsidR="003C0CFF" w:rsidRDefault="003C0CFF"/>
    <w:p w:rsidR="003C0CFF" w:rsidRDefault="0094637A">
      <w:pPr>
        <w:spacing w:before="200" w:after="200"/>
        <w:jc w:val="center"/>
        <w:rPr>
          <w:rFonts w:cs="Arial"/>
          <w:b/>
          <w:bCs/>
          <w:color w:val="1F3864"/>
        </w:rPr>
      </w:pPr>
      <w:r>
        <w:rPr>
          <w:rFonts w:cs="Arial"/>
          <w:b/>
          <w:bCs/>
          <w:color w:val="1F3864"/>
        </w:rPr>
        <w:t>— End of Report —</w:t>
      </w:r>
    </w:p>
    <w:p w:rsidR="009B2900" w:rsidRDefault="009B2900">
      <w:pPr>
        <w:spacing w:before="200" w:after="200"/>
        <w:jc w:val="center"/>
        <w:rPr>
          <w:rFonts w:cs="Arial"/>
          <w:b/>
          <w:bCs/>
          <w:color w:val="1F3864"/>
        </w:rPr>
      </w:pPr>
    </w:p>
    <w:p w:rsidR="009B2900" w:rsidRDefault="009B2900">
      <w:pPr>
        <w:spacing w:before="200" w:after="200"/>
        <w:jc w:val="center"/>
        <w:rPr>
          <w:rFonts w:cs="Arial"/>
          <w:b/>
          <w:bCs/>
          <w:color w:val="1F3864"/>
        </w:rPr>
      </w:pPr>
    </w:p>
    <w:p w:rsidR="009B2900" w:rsidRDefault="009B2900">
      <w:pPr>
        <w:spacing w:before="200" w:after="200"/>
        <w:jc w:val="center"/>
        <w:rPr>
          <w:rFonts w:cs="Arial"/>
          <w:b/>
          <w:bCs/>
          <w:color w:val="1F3864"/>
        </w:rPr>
      </w:pPr>
    </w:p>
    <w:p w:rsidR="00EA796C" w:rsidRDefault="00EA796C" w:rsidP="00AD694D">
      <w:pPr>
        <w:spacing w:before="200" w:after="200"/>
      </w:pPr>
    </w:p>
    <w:sectPr w:rsidR="00EA796C">
      <w:footerReference w:type="default" r:id="rId7"/>
      <w:pgSz w:w="12240" w:h="15840"/>
      <w:pgMar w:top="1260" w:right="1260" w:bottom="126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E2659" w:rsidRDefault="001E2659">
      <w:r>
        <w:separator/>
      </w:r>
    </w:p>
  </w:endnote>
  <w:endnote w:type="continuationSeparator" w:id="0">
    <w:p w:rsidR="001E2659" w:rsidRDefault="001E26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Mangal">
    <w:altName w:val="Courier New"/>
    <w:panose1 w:val="00000400000000000000"/>
    <w:charset w:val="01"/>
    <w:family w:val="roman"/>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C0CFF" w:rsidRDefault="0094637A">
    <w:pPr>
      <w:jc w:val="center"/>
    </w:pPr>
    <w:r>
      <w:rPr>
        <w:rFonts w:cs="Arial"/>
        <w:color w:val="777777"/>
        <w:sz w:val="18"/>
        <w:szCs w:val="18"/>
      </w:rPr>
      <w:t xml:space="preserve">Corporate Earnings Report – India Q3 FY25  |  Page </w:t>
    </w:r>
    <w:r>
      <w:rPr>
        <w:rFonts w:cs="Arial"/>
        <w:color w:val="777777"/>
        <w:sz w:val="18"/>
        <w:szCs w:val="18"/>
      </w:rPr>
      <w:fldChar w:fldCharType="begin"/>
    </w:r>
    <w:r>
      <w:rPr>
        <w:rFonts w:cs="Arial"/>
        <w:color w:val="777777"/>
        <w:sz w:val="18"/>
        <w:szCs w:val="18"/>
      </w:rPr>
      <w:instrText>PAGE</w:instrText>
    </w:r>
    <w:r>
      <w:rPr>
        <w:rFonts w:cs="Arial"/>
        <w:color w:val="777777"/>
        <w:sz w:val="18"/>
        <w:szCs w:val="18"/>
      </w:rPr>
      <w:fldChar w:fldCharType="separate"/>
    </w:r>
    <w:r w:rsidR="00AD694D">
      <w:rPr>
        <w:rFonts w:cs="Arial"/>
        <w:noProof/>
        <w:color w:val="777777"/>
        <w:sz w:val="18"/>
        <w:szCs w:val="18"/>
      </w:rPr>
      <w:t>9</w:t>
    </w:r>
    <w:r>
      <w:rPr>
        <w:rFonts w:cs="Arial"/>
        <w:color w:val="777777"/>
        <w:sz w:val="18"/>
        <w:szCs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E2659" w:rsidRDefault="001E2659">
      <w:r>
        <w:separator/>
      </w:r>
    </w:p>
  </w:footnote>
  <w:footnote w:type="continuationSeparator" w:id="0">
    <w:p w:rsidR="001E2659" w:rsidRDefault="001E2659">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5D1544"/>
    <w:multiLevelType w:val="hybridMultilevel"/>
    <w:tmpl w:val="055E400A"/>
    <w:lvl w:ilvl="0" w:tplc="199A817A">
      <w:start w:val="1"/>
      <w:numFmt w:val="bullet"/>
      <w:lvlText w:val="●"/>
      <w:lvlJc w:val="left"/>
      <w:pPr>
        <w:ind w:left="720" w:hanging="360"/>
      </w:pPr>
    </w:lvl>
    <w:lvl w:ilvl="1" w:tplc="A8CC32DA">
      <w:start w:val="1"/>
      <w:numFmt w:val="bullet"/>
      <w:lvlText w:val="○"/>
      <w:lvlJc w:val="left"/>
      <w:pPr>
        <w:ind w:left="1440" w:hanging="360"/>
      </w:pPr>
    </w:lvl>
    <w:lvl w:ilvl="2" w:tplc="6276C0F4">
      <w:start w:val="1"/>
      <w:numFmt w:val="bullet"/>
      <w:lvlText w:val="■"/>
      <w:lvlJc w:val="left"/>
      <w:pPr>
        <w:ind w:left="2160" w:hanging="360"/>
      </w:pPr>
    </w:lvl>
    <w:lvl w:ilvl="3" w:tplc="CF84AB5C">
      <w:start w:val="1"/>
      <w:numFmt w:val="bullet"/>
      <w:lvlText w:val="●"/>
      <w:lvlJc w:val="left"/>
      <w:pPr>
        <w:ind w:left="2880" w:hanging="360"/>
      </w:pPr>
    </w:lvl>
    <w:lvl w:ilvl="4" w:tplc="55621708">
      <w:start w:val="1"/>
      <w:numFmt w:val="bullet"/>
      <w:lvlText w:val="○"/>
      <w:lvlJc w:val="left"/>
      <w:pPr>
        <w:ind w:left="3600" w:hanging="360"/>
      </w:pPr>
    </w:lvl>
    <w:lvl w:ilvl="5" w:tplc="CCF45DB2">
      <w:start w:val="1"/>
      <w:numFmt w:val="bullet"/>
      <w:lvlText w:val="■"/>
      <w:lvlJc w:val="left"/>
      <w:pPr>
        <w:ind w:left="4320" w:hanging="360"/>
      </w:pPr>
    </w:lvl>
    <w:lvl w:ilvl="6" w:tplc="D86E9E92">
      <w:start w:val="1"/>
      <w:numFmt w:val="bullet"/>
      <w:lvlText w:val="●"/>
      <w:lvlJc w:val="left"/>
      <w:pPr>
        <w:ind w:left="5040" w:hanging="360"/>
      </w:pPr>
    </w:lvl>
    <w:lvl w:ilvl="7" w:tplc="DB3E643A">
      <w:start w:val="1"/>
      <w:numFmt w:val="bullet"/>
      <w:lvlText w:val="●"/>
      <w:lvlJc w:val="left"/>
      <w:pPr>
        <w:ind w:left="5760" w:hanging="360"/>
      </w:pPr>
    </w:lvl>
    <w:lvl w:ilvl="8" w:tplc="68E6BB32">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0CFF"/>
    <w:rsid w:val="001E2659"/>
    <w:rsid w:val="003C0CFF"/>
    <w:rsid w:val="00533D15"/>
    <w:rsid w:val="005D3724"/>
    <w:rsid w:val="0094637A"/>
    <w:rsid w:val="009B2900"/>
    <w:rsid w:val="00A04FC8"/>
    <w:rsid w:val="00AD694D"/>
    <w:rsid w:val="00D40D2C"/>
    <w:rsid w:val="00EA796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B83458"/>
  <w15:docId w15:val="{252ECEDF-5FD9-4957-921C-431A813BDE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IN" w:eastAsia="en-IN" w:bidi="hi-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cs="Mangal"/>
    </w:rPr>
  </w:style>
  <w:style w:type="paragraph" w:styleId="Heading1">
    <w:name w:val="heading 1"/>
    <w:qFormat/>
    <w:pPr>
      <w:spacing w:before="320" w:after="160"/>
      <w:outlineLvl w:val="0"/>
    </w:pPr>
    <w:rPr>
      <w:b/>
      <w:bCs/>
      <w:color w:val="1F3864"/>
      <w:sz w:val="28"/>
      <w:szCs w:val="28"/>
    </w:rPr>
  </w:style>
  <w:style w:type="paragraph" w:styleId="Heading2">
    <w:name w:val="heading 2"/>
    <w:qFormat/>
    <w:pPr>
      <w:spacing w:before="200" w:after="100"/>
      <w:outlineLvl w:val="1"/>
    </w:pPr>
    <w:rPr>
      <w:b/>
      <w:bCs/>
      <w:color w:val="2E4057"/>
      <w:sz w:val="24"/>
      <w:szCs w:val="24"/>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Emphasis">
    <w:name w:val="Emphasis"/>
    <w:basedOn w:val="DefaultParagraphFont"/>
    <w:uiPriority w:val="20"/>
    <w:qFormat/>
    <w:rsid w:val="009B290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1</Pages>
  <Words>3968</Words>
  <Characters>22620</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LENOVO</cp:lastModifiedBy>
  <cp:revision>7</cp:revision>
  <dcterms:created xsi:type="dcterms:W3CDTF">2026-05-23T15:33:00Z</dcterms:created>
  <dcterms:modified xsi:type="dcterms:W3CDTF">2026-07-06T06:51:00Z</dcterms:modified>
</cp:coreProperties>
</file>