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5E85" w:rsidRDefault="008D5E85" w:rsidP="008D5E85">
      <w:pPr>
        <w:jc w:val="center"/>
        <w:rPr>
          <w:b/>
          <w:bCs/>
          <w:sz w:val="32"/>
          <w:szCs w:val="32"/>
          <w:lang w:val="en-GB"/>
        </w:rPr>
      </w:pPr>
      <w:r>
        <w:rPr>
          <w:b/>
          <w:bCs/>
          <w:sz w:val="32"/>
          <w:szCs w:val="32"/>
          <w:lang w:val="en-GB"/>
        </w:rPr>
        <w:t xml:space="preserve">RBI FINANCIAL STABILITY REPORT    </w:t>
      </w:r>
    </w:p>
    <w:p w:rsidR="00C91793" w:rsidRDefault="009A5538" w:rsidP="009A5538">
      <w:pPr>
        <w:rPr>
          <w:b/>
          <w:bCs/>
          <w:sz w:val="32"/>
          <w:szCs w:val="32"/>
          <w:lang w:val="en-GB"/>
        </w:rPr>
      </w:pPr>
      <w:r>
        <w:rPr>
          <w:b/>
          <w:bCs/>
          <w:sz w:val="32"/>
          <w:szCs w:val="32"/>
          <w:lang w:val="en-GB"/>
        </w:rPr>
        <w:t xml:space="preserve">                                         </w:t>
      </w:r>
      <w:r w:rsidR="00C91793">
        <w:rPr>
          <w:b/>
          <w:bCs/>
          <w:sz w:val="32"/>
          <w:szCs w:val="32"/>
          <w:lang w:val="en-GB"/>
        </w:rPr>
        <w:t>EXECUTIVE SUMMARY</w:t>
      </w:r>
    </w:p>
    <w:p w:rsidR="009A5538" w:rsidRPr="002025F3" w:rsidRDefault="009A5538" w:rsidP="0017264C">
      <w:pPr>
        <w:rPr>
          <w:sz w:val="28"/>
          <w:szCs w:val="28"/>
        </w:rPr>
      </w:pPr>
      <w:r w:rsidRPr="002025F3">
        <w:rPr>
          <w:sz w:val="28"/>
          <w:szCs w:val="28"/>
        </w:rPr>
        <w:t>Th</w:t>
      </w:r>
      <w:r w:rsidR="0001023D">
        <w:rPr>
          <w:sz w:val="28"/>
          <w:szCs w:val="28"/>
        </w:rPr>
        <w:t>is report provides the</w:t>
      </w:r>
      <w:r w:rsidRPr="002025F3">
        <w:rPr>
          <w:sz w:val="28"/>
          <w:szCs w:val="28"/>
        </w:rPr>
        <w:t xml:space="preserve"> review of the Reserve Bank of India’s Financial Stability Report (FSR) with a focus on the stability, resilience, and emerging risks within the India</w:t>
      </w:r>
      <w:r w:rsidR="0001023D">
        <w:rPr>
          <w:sz w:val="28"/>
          <w:szCs w:val="28"/>
        </w:rPr>
        <w:t>n financial system. It</w:t>
      </w:r>
      <w:r w:rsidRPr="002025F3">
        <w:rPr>
          <w:sz w:val="28"/>
          <w:szCs w:val="28"/>
        </w:rPr>
        <w:t xml:space="preserve"> covers the performance of scheduled commercial banks (SCBs), Non-Banking Financial Companies (NBFCs), financial markets, and the broader macro-financial environment.</w:t>
      </w:r>
    </w:p>
    <w:p w:rsidR="009A5538" w:rsidRPr="002025F3" w:rsidRDefault="009A5538" w:rsidP="0017264C">
      <w:pPr>
        <w:rPr>
          <w:sz w:val="28"/>
          <w:szCs w:val="28"/>
        </w:rPr>
      </w:pPr>
      <w:r w:rsidRPr="002025F3">
        <w:rPr>
          <w:sz w:val="28"/>
          <w:szCs w:val="28"/>
        </w:rPr>
        <w:t>Despite global tensions, trade uncertainty, and fluctuations in financial markets, India’s financial system remained stable during the review period. Strong domestic demand, lower inflation, supportive government and RBI policies, and healthier company balance sheets helped maintain stability. Banks also remained financially strong, with good capital levels, steady profits, sufficient liquidity, and very low bad loans (GNPA levels at multi-year lows).</w:t>
      </w:r>
    </w:p>
    <w:p w:rsidR="009A5538" w:rsidRPr="002025F3" w:rsidRDefault="009A5538" w:rsidP="0017264C">
      <w:pPr>
        <w:rPr>
          <w:sz w:val="28"/>
          <w:szCs w:val="28"/>
        </w:rPr>
      </w:pPr>
      <w:r w:rsidRPr="002025F3">
        <w:rPr>
          <w:sz w:val="28"/>
          <w:szCs w:val="28"/>
        </w:rPr>
        <w:t>The report also highlights the improving financial health of NBFCs and the resilience of financial institutions under RBI stress-testing frameworks. Stress test results indicated that banks and most NBFCs would remain above the minimum regulatory capital requirements even under adverse macroeconomic scenarios.</w:t>
      </w:r>
    </w:p>
    <w:p w:rsidR="009A5538" w:rsidRPr="002025F3" w:rsidRDefault="009A5538" w:rsidP="0017264C">
      <w:pPr>
        <w:rPr>
          <w:sz w:val="28"/>
          <w:szCs w:val="28"/>
        </w:rPr>
      </w:pPr>
      <w:r w:rsidRPr="002025F3">
        <w:rPr>
          <w:sz w:val="28"/>
          <w:szCs w:val="28"/>
        </w:rPr>
        <w:t>However, the RBI identified several emerging r</w:t>
      </w:r>
      <w:r w:rsidR="002025F3" w:rsidRPr="002025F3">
        <w:rPr>
          <w:sz w:val="28"/>
          <w:szCs w:val="28"/>
        </w:rPr>
        <w:t>isks include</w:t>
      </w:r>
      <w:r w:rsidRPr="002025F3">
        <w:rPr>
          <w:sz w:val="28"/>
          <w:szCs w:val="28"/>
        </w:rPr>
        <w:t xml:space="preserve"> rising unsecured retail lending, global macroeconomic uncertainty, </w:t>
      </w:r>
      <w:proofErr w:type="spellStart"/>
      <w:r w:rsidRPr="002025F3">
        <w:rPr>
          <w:sz w:val="28"/>
          <w:szCs w:val="28"/>
        </w:rPr>
        <w:t>fintech</w:t>
      </w:r>
      <w:proofErr w:type="spellEnd"/>
      <w:r w:rsidRPr="002025F3">
        <w:rPr>
          <w:sz w:val="28"/>
          <w:szCs w:val="28"/>
        </w:rPr>
        <w:t>-related operational risks, cybersecurity threats, and climate-related financial vulnerabilities. These risks may affect asset quality, credit growth, liquidity conditions, and overall market confidence if not managed effectively.</w:t>
      </w:r>
    </w:p>
    <w:p w:rsidR="009A5538" w:rsidRPr="002025F3" w:rsidRDefault="009A5538" w:rsidP="0017264C">
      <w:pPr>
        <w:rPr>
          <w:b/>
          <w:bCs/>
          <w:sz w:val="28"/>
          <w:szCs w:val="28"/>
        </w:rPr>
      </w:pPr>
      <w:r w:rsidRPr="002025F3">
        <w:rPr>
          <w:sz w:val="28"/>
          <w:szCs w:val="28"/>
        </w:rPr>
        <w:t>Overall, the findings suggest that the Indian financial system remains well-positioned to withstand external shocks, supported by strong regulatory oversight, improved asset quality, and robust capital buf</w:t>
      </w:r>
      <w:r w:rsidR="0001023D">
        <w:rPr>
          <w:sz w:val="28"/>
          <w:szCs w:val="28"/>
        </w:rPr>
        <w:t xml:space="preserve">fers. </w:t>
      </w:r>
    </w:p>
    <w:p w:rsidR="009A5538" w:rsidRDefault="009A5538" w:rsidP="008D5E85">
      <w:pPr>
        <w:jc w:val="center"/>
        <w:rPr>
          <w:b/>
          <w:bCs/>
          <w:sz w:val="32"/>
          <w:szCs w:val="32"/>
          <w:lang w:val="en-GB"/>
        </w:rPr>
      </w:pPr>
    </w:p>
    <w:p w:rsidR="00C91793" w:rsidRPr="00C91793" w:rsidRDefault="0001023D" w:rsidP="0001023D">
      <w:pPr>
        <w:rPr>
          <w:b/>
          <w:bCs/>
          <w:sz w:val="32"/>
          <w:szCs w:val="32"/>
          <w:lang w:val="en-GB"/>
        </w:rPr>
      </w:pPr>
      <w:r>
        <w:rPr>
          <w:b/>
          <w:bCs/>
          <w:sz w:val="32"/>
          <w:szCs w:val="32"/>
          <w:lang w:val="en-GB"/>
        </w:rPr>
        <w:t xml:space="preserve">                                           </w:t>
      </w:r>
      <w:r w:rsidR="00A752B5">
        <w:rPr>
          <w:b/>
          <w:bCs/>
          <w:sz w:val="32"/>
          <w:szCs w:val="32"/>
          <w:lang w:val="en-GB"/>
        </w:rPr>
        <w:t>1.0</w:t>
      </w:r>
      <w:r w:rsidR="00C91793">
        <w:rPr>
          <w:b/>
          <w:bCs/>
          <w:sz w:val="32"/>
          <w:szCs w:val="32"/>
          <w:lang w:val="en-GB"/>
        </w:rPr>
        <w:t xml:space="preserve"> INTRODUCTION</w:t>
      </w:r>
    </w:p>
    <w:p w:rsidR="00C91793" w:rsidRPr="00C91793" w:rsidRDefault="00C91793" w:rsidP="0017264C">
      <w:pPr>
        <w:rPr>
          <w:sz w:val="28"/>
          <w:szCs w:val="28"/>
          <w:lang w:val="en-GB"/>
        </w:rPr>
      </w:pPr>
      <w:r>
        <w:rPr>
          <w:sz w:val="28"/>
          <w:szCs w:val="28"/>
          <w:lang w:val="en-GB"/>
        </w:rPr>
        <w:t xml:space="preserve">The </w:t>
      </w:r>
      <w:r w:rsidRPr="00C91793">
        <w:rPr>
          <w:sz w:val="28"/>
          <w:szCs w:val="28"/>
          <w:lang w:val="en-GB"/>
        </w:rPr>
        <w:t>Financial Stability Report (FSR)</w:t>
      </w:r>
      <w:r>
        <w:rPr>
          <w:sz w:val="28"/>
          <w:szCs w:val="28"/>
          <w:lang w:val="en-GB"/>
        </w:rPr>
        <w:t xml:space="preserve"> published by Reserve Bank of India</w:t>
      </w:r>
      <w:r w:rsidRPr="00C91793">
        <w:rPr>
          <w:sz w:val="28"/>
          <w:szCs w:val="28"/>
          <w:lang w:val="en-GB"/>
        </w:rPr>
        <w:t xml:space="preserve"> is a biann</w:t>
      </w:r>
      <w:r>
        <w:rPr>
          <w:sz w:val="28"/>
          <w:szCs w:val="28"/>
          <w:lang w:val="en-GB"/>
        </w:rPr>
        <w:t xml:space="preserve">ual report </w:t>
      </w:r>
      <w:r w:rsidRPr="00C91793">
        <w:rPr>
          <w:sz w:val="28"/>
          <w:szCs w:val="28"/>
          <w:lang w:val="en-GB"/>
        </w:rPr>
        <w:t xml:space="preserve">to assess the overall stability and strength of India’s financial system. The report provides insights into the condition of banks, Non-Banking Financial Companies (NBFCs), financial </w:t>
      </w:r>
      <w:r w:rsidR="00A36C58">
        <w:rPr>
          <w:sz w:val="28"/>
          <w:szCs w:val="28"/>
          <w:lang w:val="en-GB"/>
        </w:rPr>
        <w:t xml:space="preserve">markets, and the </w:t>
      </w:r>
      <w:r w:rsidR="00A36C58" w:rsidRPr="00A36C58">
        <w:rPr>
          <w:sz w:val="28"/>
          <w:szCs w:val="28"/>
          <w:lang w:val="en-GB"/>
        </w:rPr>
        <w:t>overall economy</w:t>
      </w:r>
      <w:r w:rsidRPr="00C91793">
        <w:rPr>
          <w:sz w:val="28"/>
          <w:szCs w:val="28"/>
          <w:lang w:val="en-GB"/>
        </w:rPr>
        <w:t>.</w:t>
      </w:r>
    </w:p>
    <w:p w:rsidR="0017264C" w:rsidRDefault="00C91793" w:rsidP="0017264C">
      <w:pPr>
        <w:rPr>
          <w:sz w:val="28"/>
          <w:szCs w:val="28"/>
          <w:lang w:val="en-GB"/>
        </w:rPr>
      </w:pPr>
      <w:r w:rsidRPr="00C91793">
        <w:rPr>
          <w:sz w:val="28"/>
          <w:szCs w:val="28"/>
          <w:lang w:val="en-GB"/>
        </w:rPr>
        <w:lastRenderedPageBreak/>
        <w:t>Financial stability is important because a stable financial system supports economic growth, maintains investor confidence, and ensures smooth functioning of banking and credit activities. Any weakness in the financial system can affect businesses, employment</w:t>
      </w:r>
      <w:r w:rsidR="00A36C58">
        <w:rPr>
          <w:sz w:val="28"/>
          <w:szCs w:val="28"/>
          <w:lang w:val="en-GB"/>
        </w:rPr>
        <w:t>s</w:t>
      </w:r>
      <w:r w:rsidRPr="00C91793">
        <w:rPr>
          <w:sz w:val="28"/>
          <w:szCs w:val="28"/>
          <w:lang w:val="en-GB"/>
        </w:rPr>
        <w:t>, investments, and overall economic performance.</w:t>
      </w:r>
    </w:p>
    <w:p w:rsidR="00C91793" w:rsidRPr="00C91793" w:rsidRDefault="00C91793" w:rsidP="0017264C">
      <w:pPr>
        <w:rPr>
          <w:sz w:val="28"/>
          <w:szCs w:val="28"/>
          <w:lang w:val="en-GB"/>
        </w:rPr>
      </w:pPr>
      <w:r w:rsidRPr="00C91793">
        <w:rPr>
          <w:sz w:val="28"/>
          <w:szCs w:val="28"/>
          <w:lang w:val="en-GB"/>
        </w:rPr>
        <w:t>The FSR is closely monitored by regulators, investors, policymakers, an</w:t>
      </w:r>
      <w:r w:rsidR="00A36C58">
        <w:rPr>
          <w:sz w:val="28"/>
          <w:szCs w:val="28"/>
          <w:lang w:val="en-GB"/>
        </w:rPr>
        <w:t>d financial institutions as</w:t>
      </w:r>
      <w:r w:rsidRPr="00C91793">
        <w:rPr>
          <w:sz w:val="28"/>
          <w:szCs w:val="28"/>
          <w:lang w:val="en-GB"/>
        </w:rPr>
        <w:t xml:space="preserve"> it highlights major risks and vulnerabilities that could impact the economy. It also helps stakeholders understand the preparedness of the banking and financial sector during periods of economic uncertainty.</w:t>
      </w:r>
    </w:p>
    <w:p w:rsidR="00C91793" w:rsidRPr="00C91793" w:rsidRDefault="00C91793" w:rsidP="00C91793">
      <w:pPr>
        <w:jc w:val="center"/>
        <w:rPr>
          <w:sz w:val="28"/>
          <w:szCs w:val="28"/>
          <w:lang w:val="en-GB"/>
        </w:rPr>
      </w:pPr>
    </w:p>
    <w:p w:rsidR="00C91793" w:rsidRPr="00C91793" w:rsidRDefault="00C91793" w:rsidP="0017264C">
      <w:pPr>
        <w:rPr>
          <w:sz w:val="32"/>
          <w:szCs w:val="32"/>
          <w:lang w:val="en-GB"/>
        </w:rPr>
      </w:pPr>
      <w:r w:rsidRPr="00C91793">
        <w:rPr>
          <w:sz w:val="32"/>
          <w:szCs w:val="32"/>
          <w:lang w:val="en-GB"/>
        </w:rPr>
        <w:t>The RBI publishes the Financial Stability Report twice every year. The report mainly evaluates:</w:t>
      </w:r>
    </w:p>
    <w:p w:rsidR="00C91793" w:rsidRPr="00C91793" w:rsidRDefault="00A36C58" w:rsidP="00C91793">
      <w:pPr>
        <w:rPr>
          <w:sz w:val="28"/>
          <w:szCs w:val="28"/>
          <w:lang w:val="en-GB"/>
        </w:rPr>
      </w:pPr>
      <w:r>
        <w:rPr>
          <w:sz w:val="28"/>
          <w:szCs w:val="28"/>
          <w:lang w:val="en-GB"/>
        </w:rPr>
        <w:t>* B</w:t>
      </w:r>
      <w:r w:rsidR="00C91793" w:rsidRPr="00C91793">
        <w:rPr>
          <w:sz w:val="28"/>
          <w:szCs w:val="28"/>
          <w:lang w:val="en-GB"/>
        </w:rPr>
        <w:t>anking sector</w:t>
      </w:r>
      <w:r>
        <w:rPr>
          <w:sz w:val="28"/>
          <w:szCs w:val="28"/>
          <w:lang w:val="en-GB"/>
        </w:rPr>
        <w:t>’s h</w:t>
      </w:r>
      <w:r w:rsidRPr="00C91793">
        <w:rPr>
          <w:sz w:val="28"/>
          <w:szCs w:val="28"/>
          <w:lang w:val="en-GB"/>
        </w:rPr>
        <w:t>ealth and performance</w:t>
      </w:r>
      <w:r>
        <w:rPr>
          <w:sz w:val="28"/>
          <w:szCs w:val="28"/>
          <w:lang w:val="en-GB"/>
        </w:rPr>
        <w:t>.</w:t>
      </w:r>
    </w:p>
    <w:p w:rsidR="00C91793" w:rsidRPr="00C91793" w:rsidRDefault="00C91793" w:rsidP="00A36C58">
      <w:pPr>
        <w:rPr>
          <w:sz w:val="28"/>
          <w:szCs w:val="28"/>
          <w:lang w:val="en-GB"/>
        </w:rPr>
      </w:pPr>
      <w:r w:rsidRPr="00C91793">
        <w:rPr>
          <w:sz w:val="28"/>
          <w:szCs w:val="28"/>
          <w:lang w:val="en-GB"/>
        </w:rPr>
        <w:t>* Condition of NBFCs and other financial institutions</w:t>
      </w:r>
      <w:r w:rsidR="00A36C58">
        <w:rPr>
          <w:sz w:val="28"/>
          <w:szCs w:val="28"/>
          <w:lang w:val="en-GB"/>
        </w:rPr>
        <w:t>.</w:t>
      </w:r>
    </w:p>
    <w:p w:rsidR="00C91793" w:rsidRPr="00C91793" w:rsidRDefault="00C91793" w:rsidP="00A36C58">
      <w:pPr>
        <w:rPr>
          <w:sz w:val="28"/>
          <w:szCs w:val="28"/>
          <w:lang w:val="en-GB"/>
        </w:rPr>
      </w:pPr>
      <w:r w:rsidRPr="00C91793">
        <w:rPr>
          <w:sz w:val="28"/>
          <w:szCs w:val="28"/>
          <w:lang w:val="en-GB"/>
        </w:rPr>
        <w:t>* Developments in financial markets</w:t>
      </w:r>
      <w:r w:rsidR="00A36C58">
        <w:rPr>
          <w:sz w:val="28"/>
          <w:szCs w:val="28"/>
          <w:lang w:val="en-GB"/>
        </w:rPr>
        <w:t>.</w:t>
      </w:r>
    </w:p>
    <w:p w:rsidR="00C91793" w:rsidRPr="00C91793" w:rsidRDefault="00A36C58" w:rsidP="00A36C58">
      <w:pPr>
        <w:rPr>
          <w:sz w:val="28"/>
          <w:szCs w:val="28"/>
          <w:lang w:val="en-GB"/>
        </w:rPr>
      </w:pPr>
      <w:r>
        <w:rPr>
          <w:sz w:val="28"/>
          <w:szCs w:val="28"/>
          <w:lang w:val="en-GB"/>
        </w:rPr>
        <w:t xml:space="preserve">* </w:t>
      </w:r>
      <w:r w:rsidRPr="00A36C58">
        <w:rPr>
          <w:sz w:val="28"/>
          <w:szCs w:val="28"/>
          <w:lang w:val="en-GB"/>
        </w:rPr>
        <w:t>Risks affecting the financial system and economy</w:t>
      </w:r>
      <w:r>
        <w:rPr>
          <w:sz w:val="28"/>
          <w:szCs w:val="28"/>
          <w:lang w:val="en-GB"/>
        </w:rPr>
        <w:t>.</w:t>
      </w:r>
    </w:p>
    <w:p w:rsidR="00C91793" w:rsidRPr="00C91793" w:rsidRDefault="00C91793" w:rsidP="00A36C58">
      <w:pPr>
        <w:rPr>
          <w:sz w:val="28"/>
          <w:szCs w:val="28"/>
          <w:lang w:val="en-GB"/>
        </w:rPr>
      </w:pPr>
      <w:r w:rsidRPr="00C91793">
        <w:rPr>
          <w:sz w:val="28"/>
          <w:szCs w:val="28"/>
          <w:lang w:val="en-GB"/>
        </w:rPr>
        <w:t xml:space="preserve">* </w:t>
      </w:r>
      <w:r w:rsidR="00A36C58" w:rsidRPr="00A36C58">
        <w:rPr>
          <w:sz w:val="28"/>
          <w:szCs w:val="28"/>
          <w:lang w:val="en-GB"/>
        </w:rPr>
        <w:t>Ability of the financial system to handle economic stress</w:t>
      </w:r>
      <w:r w:rsidR="00A36C58">
        <w:rPr>
          <w:sz w:val="28"/>
          <w:szCs w:val="28"/>
          <w:lang w:val="en-GB"/>
        </w:rPr>
        <w:t>.</w:t>
      </w:r>
    </w:p>
    <w:p w:rsidR="00C91793" w:rsidRDefault="00C91793" w:rsidP="0017264C">
      <w:pPr>
        <w:rPr>
          <w:sz w:val="28"/>
          <w:szCs w:val="28"/>
          <w:lang w:val="en-GB"/>
        </w:rPr>
      </w:pPr>
      <w:r w:rsidRPr="00C91793">
        <w:rPr>
          <w:sz w:val="28"/>
          <w:szCs w:val="28"/>
          <w:lang w:val="en-GB"/>
        </w:rPr>
        <w:t>Overall, the FSR acts as an important tool for assessing the resilience and stability of India’s financial sector.</w:t>
      </w:r>
    </w:p>
    <w:p w:rsidR="00FC61E7" w:rsidRDefault="00FC61E7" w:rsidP="00A36C58">
      <w:pPr>
        <w:jc w:val="center"/>
        <w:rPr>
          <w:sz w:val="28"/>
          <w:szCs w:val="28"/>
          <w:lang w:val="en-GB"/>
        </w:rPr>
      </w:pPr>
    </w:p>
    <w:p w:rsidR="00FC61E7" w:rsidRDefault="00A752B5" w:rsidP="00FC61E7">
      <w:pPr>
        <w:jc w:val="center"/>
        <w:rPr>
          <w:b/>
          <w:bCs/>
          <w:sz w:val="32"/>
          <w:szCs w:val="32"/>
          <w:lang w:val="en-GB"/>
        </w:rPr>
      </w:pPr>
      <w:r>
        <w:rPr>
          <w:b/>
          <w:bCs/>
          <w:sz w:val="32"/>
          <w:szCs w:val="32"/>
          <w:lang w:val="en-GB"/>
        </w:rPr>
        <w:t xml:space="preserve">2.0 </w:t>
      </w:r>
      <w:r w:rsidR="00FC61E7">
        <w:rPr>
          <w:b/>
          <w:bCs/>
          <w:sz w:val="32"/>
          <w:szCs w:val="32"/>
          <w:lang w:val="en-GB"/>
        </w:rPr>
        <w:t>IMPORTANT FINANCIAL TERMINOLOGIES</w:t>
      </w:r>
    </w:p>
    <w:p w:rsidR="004C0764" w:rsidRDefault="004C0764" w:rsidP="004C0764">
      <w:r w:rsidRPr="004C0764">
        <w:rPr>
          <w:b/>
          <w:bCs/>
          <w:sz w:val="28"/>
          <w:szCs w:val="28"/>
        </w:rPr>
        <w:t>GNPA RATIO</w:t>
      </w:r>
      <w:r w:rsidRPr="009B5C21">
        <w:rPr>
          <w:sz w:val="28"/>
          <w:szCs w:val="28"/>
        </w:rPr>
        <w:t>: Percentage of loans borrowers are unable to repay</w:t>
      </w:r>
      <w:r>
        <w:t>.</w:t>
      </w:r>
    </w:p>
    <w:p w:rsidR="004C0764" w:rsidRPr="009B5C21" w:rsidRDefault="004C0764" w:rsidP="004C0764">
      <w:pPr>
        <w:rPr>
          <w:sz w:val="28"/>
          <w:szCs w:val="28"/>
        </w:rPr>
      </w:pPr>
      <w:r w:rsidRPr="004C0764">
        <w:rPr>
          <w:b/>
          <w:bCs/>
          <w:sz w:val="28"/>
          <w:szCs w:val="28"/>
        </w:rPr>
        <w:t>CRAR</w:t>
      </w:r>
      <w:r w:rsidRPr="009B5C21">
        <w:rPr>
          <w:sz w:val="28"/>
          <w:szCs w:val="28"/>
        </w:rPr>
        <w:t>: Measures of a bank’s financial strength and ability to absorb losses.</w:t>
      </w:r>
    </w:p>
    <w:p w:rsidR="004C0764" w:rsidRPr="009B5C21" w:rsidRDefault="004C0764" w:rsidP="004C0764">
      <w:pPr>
        <w:rPr>
          <w:sz w:val="28"/>
          <w:szCs w:val="28"/>
        </w:rPr>
      </w:pPr>
      <w:r w:rsidRPr="004C0764">
        <w:rPr>
          <w:b/>
          <w:bCs/>
          <w:sz w:val="28"/>
          <w:szCs w:val="28"/>
        </w:rPr>
        <w:t>ROA (Return On Assets)</w:t>
      </w:r>
      <w:r w:rsidRPr="009B5C21">
        <w:rPr>
          <w:sz w:val="28"/>
          <w:szCs w:val="28"/>
        </w:rPr>
        <w:t>: Indicates how efficie</w:t>
      </w:r>
      <w:r>
        <w:rPr>
          <w:sz w:val="28"/>
          <w:szCs w:val="28"/>
        </w:rPr>
        <w:t xml:space="preserve">ntly a bank earns profit from </w:t>
      </w:r>
      <w:proofErr w:type="spellStart"/>
      <w:r>
        <w:rPr>
          <w:sz w:val="28"/>
          <w:szCs w:val="28"/>
        </w:rPr>
        <w:t>it’s</w:t>
      </w:r>
      <w:proofErr w:type="spellEnd"/>
      <w:r>
        <w:rPr>
          <w:sz w:val="28"/>
          <w:szCs w:val="28"/>
        </w:rPr>
        <w:t xml:space="preserve"> assets.</w:t>
      </w:r>
    </w:p>
    <w:p w:rsidR="004C0764" w:rsidRPr="009B5C21" w:rsidRDefault="004C0764" w:rsidP="004C0764">
      <w:pPr>
        <w:rPr>
          <w:sz w:val="28"/>
          <w:szCs w:val="28"/>
        </w:rPr>
      </w:pPr>
      <w:r w:rsidRPr="004C0764">
        <w:rPr>
          <w:b/>
          <w:bCs/>
          <w:sz w:val="28"/>
          <w:szCs w:val="28"/>
        </w:rPr>
        <w:t>NBFC</w:t>
      </w:r>
      <w:r w:rsidRPr="009B5C21">
        <w:rPr>
          <w:sz w:val="28"/>
          <w:szCs w:val="28"/>
        </w:rPr>
        <w:t>: Financial institution that provides loans &amp; financial services but doesn’t operate like a full commercial banks.</w:t>
      </w:r>
    </w:p>
    <w:p w:rsidR="004C0764" w:rsidRDefault="004C0764" w:rsidP="004C0764">
      <w:pPr>
        <w:rPr>
          <w:sz w:val="28"/>
          <w:szCs w:val="28"/>
        </w:rPr>
      </w:pPr>
      <w:r w:rsidRPr="004C0764">
        <w:rPr>
          <w:b/>
          <w:bCs/>
          <w:sz w:val="28"/>
          <w:szCs w:val="28"/>
        </w:rPr>
        <w:t>Liquidity Buffer</w:t>
      </w:r>
      <w:r>
        <w:t xml:space="preserve">: </w:t>
      </w:r>
      <w:r w:rsidRPr="00FC61E7">
        <w:rPr>
          <w:sz w:val="28"/>
          <w:szCs w:val="28"/>
        </w:rPr>
        <w:t>Extra funds maintained by banks to handle sudden financial stress or withdrawals.</w:t>
      </w:r>
    </w:p>
    <w:p w:rsidR="004C0764" w:rsidRDefault="004C0764" w:rsidP="004C0764">
      <w:pPr>
        <w:rPr>
          <w:sz w:val="28"/>
          <w:szCs w:val="28"/>
        </w:rPr>
      </w:pPr>
      <w:r w:rsidRPr="004C0764">
        <w:rPr>
          <w:b/>
          <w:bCs/>
          <w:sz w:val="28"/>
          <w:szCs w:val="28"/>
        </w:rPr>
        <w:lastRenderedPageBreak/>
        <w:t>Stress Testing</w:t>
      </w:r>
      <w:r>
        <w:rPr>
          <w:sz w:val="28"/>
          <w:szCs w:val="28"/>
        </w:rPr>
        <w:t xml:space="preserve">: </w:t>
      </w:r>
      <w:r w:rsidRPr="00FC61E7">
        <w:rPr>
          <w:sz w:val="28"/>
          <w:szCs w:val="28"/>
        </w:rPr>
        <w:t>Process used by RBI to check whether banks can survive difficult economic conditions.</w:t>
      </w:r>
    </w:p>
    <w:p w:rsidR="004C0764" w:rsidRDefault="004C0764" w:rsidP="004C0764">
      <w:pPr>
        <w:rPr>
          <w:sz w:val="28"/>
          <w:szCs w:val="28"/>
        </w:rPr>
      </w:pPr>
      <w:r w:rsidRPr="004C0764">
        <w:rPr>
          <w:b/>
          <w:bCs/>
          <w:sz w:val="28"/>
          <w:szCs w:val="28"/>
        </w:rPr>
        <w:t>Capital Buffer</w:t>
      </w:r>
      <w:r>
        <w:rPr>
          <w:sz w:val="28"/>
          <w:szCs w:val="28"/>
        </w:rPr>
        <w:t xml:space="preserve">: </w:t>
      </w:r>
      <w:r w:rsidRPr="00FC61E7">
        <w:rPr>
          <w:sz w:val="28"/>
          <w:szCs w:val="28"/>
        </w:rPr>
        <w:t>Additional capital maintained by banks for protection against financial risks and losses.</w:t>
      </w:r>
    </w:p>
    <w:p w:rsidR="004C0764" w:rsidRPr="00FC61E7" w:rsidRDefault="004C0764" w:rsidP="004C0764">
      <w:pPr>
        <w:rPr>
          <w:sz w:val="28"/>
          <w:szCs w:val="28"/>
        </w:rPr>
      </w:pPr>
      <w:r w:rsidRPr="004C0764">
        <w:rPr>
          <w:b/>
          <w:bCs/>
          <w:sz w:val="28"/>
          <w:szCs w:val="28"/>
        </w:rPr>
        <w:t>Asset Quality</w:t>
      </w:r>
      <w:r>
        <w:rPr>
          <w:sz w:val="28"/>
          <w:szCs w:val="28"/>
        </w:rPr>
        <w:t xml:space="preserve">: </w:t>
      </w:r>
      <w:r w:rsidRPr="00FC61E7">
        <w:rPr>
          <w:sz w:val="28"/>
          <w:szCs w:val="28"/>
        </w:rPr>
        <w:t>Indicates the overall health of loans given by banks and financial institutions.</w:t>
      </w:r>
    </w:p>
    <w:p w:rsidR="00FC61E7" w:rsidRDefault="00FC61E7" w:rsidP="00FC61E7">
      <w:pPr>
        <w:jc w:val="center"/>
        <w:rPr>
          <w:b/>
          <w:bCs/>
          <w:sz w:val="32"/>
          <w:szCs w:val="32"/>
          <w:lang w:val="en-GB"/>
        </w:rPr>
      </w:pPr>
    </w:p>
    <w:p w:rsidR="00FC61E7" w:rsidRPr="00FC61E7" w:rsidRDefault="00FC61E7" w:rsidP="00FC61E7">
      <w:pPr>
        <w:jc w:val="cente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C63393" w:rsidRPr="00FC61E7" w:rsidTr="00FC61E7">
        <w:trPr>
          <w:tblCellSpacing w:w="15" w:type="dxa"/>
        </w:trPr>
        <w:tc>
          <w:tcPr>
            <w:tcW w:w="0" w:type="auto"/>
            <w:vAlign w:val="center"/>
            <w:hideMark/>
          </w:tcPr>
          <w:p w:rsidR="00FC61E7" w:rsidRPr="00FC61E7" w:rsidRDefault="00FC61E7" w:rsidP="00FC61E7">
            <w:pPr>
              <w:jc w:val="center"/>
              <w:rPr>
                <w:sz w:val="28"/>
                <w:szCs w:val="28"/>
              </w:rPr>
            </w:pPr>
          </w:p>
        </w:tc>
        <w:tc>
          <w:tcPr>
            <w:tcW w:w="0" w:type="auto"/>
            <w:vAlign w:val="center"/>
            <w:hideMark/>
          </w:tcPr>
          <w:p w:rsidR="00FC61E7" w:rsidRPr="00FC61E7" w:rsidRDefault="00FC61E7" w:rsidP="00C63393">
            <w:pPr>
              <w:rPr>
                <w:sz w:val="28"/>
                <w:szCs w:val="28"/>
              </w:rPr>
            </w:pPr>
          </w:p>
        </w:tc>
      </w:tr>
    </w:tbl>
    <w:p w:rsidR="00FC61E7" w:rsidRPr="00FC61E7" w:rsidRDefault="00FC61E7" w:rsidP="00FC61E7">
      <w:pPr>
        <w:jc w:val="cente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3"/>
        <w:gridCol w:w="81"/>
      </w:tblGrid>
      <w:tr w:rsidR="00C63393" w:rsidRPr="00FC61E7" w:rsidTr="00C63393">
        <w:trPr>
          <w:tblCellSpacing w:w="15" w:type="dxa"/>
        </w:trPr>
        <w:tc>
          <w:tcPr>
            <w:tcW w:w="2338" w:type="dxa"/>
            <w:vAlign w:val="center"/>
            <w:hideMark/>
          </w:tcPr>
          <w:p w:rsidR="00FC61E7" w:rsidRPr="00FC61E7" w:rsidRDefault="00FC61E7" w:rsidP="00C63393">
            <w:pPr>
              <w:rPr>
                <w:sz w:val="28"/>
                <w:szCs w:val="28"/>
              </w:rPr>
            </w:pPr>
          </w:p>
        </w:tc>
        <w:tc>
          <w:tcPr>
            <w:tcW w:w="0" w:type="auto"/>
            <w:vAlign w:val="center"/>
            <w:hideMark/>
          </w:tcPr>
          <w:p w:rsidR="00FC61E7" w:rsidRPr="00FC61E7" w:rsidRDefault="00FC61E7" w:rsidP="00C63393">
            <w:pPr>
              <w:rPr>
                <w:sz w:val="28"/>
                <w:szCs w:val="28"/>
              </w:rPr>
            </w:pPr>
          </w:p>
        </w:tc>
      </w:tr>
    </w:tbl>
    <w:p w:rsidR="00B71000" w:rsidRDefault="00FB2811" w:rsidP="00B71000">
      <w:pPr>
        <w:rPr>
          <w:b/>
          <w:bCs/>
          <w:sz w:val="32"/>
          <w:szCs w:val="32"/>
          <w:lang w:val="en-GB"/>
        </w:rPr>
      </w:pPr>
      <w:r>
        <w:rPr>
          <w:sz w:val="32"/>
          <w:szCs w:val="32"/>
          <w:lang w:val="en-GB"/>
        </w:rPr>
        <w:t xml:space="preserve">       </w:t>
      </w:r>
      <w:r w:rsidR="00A752B5" w:rsidRPr="00A752B5">
        <w:rPr>
          <w:b/>
          <w:bCs/>
          <w:sz w:val="32"/>
          <w:szCs w:val="32"/>
          <w:lang w:val="en-GB"/>
        </w:rPr>
        <w:t>3.0</w:t>
      </w:r>
      <w:r w:rsidR="00A752B5">
        <w:rPr>
          <w:sz w:val="32"/>
          <w:szCs w:val="32"/>
          <w:lang w:val="en-GB"/>
        </w:rPr>
        <w:t xml:space="preserve"> </w:t>
      </w:r>
      <w:r w:rsidR="00F564D2">
        <w:rPr>
          <w:b/>
          <w:bCs/>
          <w:sz w:val="32"/>
          <w:szCs w:val="32"/>
          <w:lang w:val="en-GB"/>
        </w:rPr>
        <w:t>CORE ANALYSIS OF RBI FINANCIAL STABILITY REPORT (FSR)</w:t>
      </w:r>
    </w:p>
    <w:p w:rsidR="00687A72" w:rsidRDefault="00687A72" w:rsidP="00B71000">
      <w:pPr>
        <w:rPr>
          <w:b/>
          <w:bCs/>
          <w:sz w:val="32"/>
          <w:szCs w:val="32"/>
          <w:lang w:val="en-GB"/>
        </w:rPr>
      </w:pPr>
    </w:p>
    <w:p w:rsidR="00687A72" w:rsidRPr="009E0464" w:rsidRDefault="009E0464" w:rsidP="00687A72">
      <w:pPr>
        <w:rPr>
          <w:b/>
          <w:bCs/>
          <w:sz w:val="32"/>
          <w:szCs w:val="32"/>
          <w:lang w:val="en-GB"/>
        </w:rPr>
      </w:pPr>
      <w:r>
        <w:rPr>
          <w:b/>
          <w:bCs/>
          <w:sz w:val="32"/>
          <w:szCs w:val="32"/>
          <w:lang w:val="en-GB"/>
        </w:rPr>
        <w:t xml:space="preserve">                                    </w:t>
      </w:r>
      <w:r w:rsidR="00A752B5" w:rsidRPr="009E0464">
        <w:rPr>
          <w:b/>
          <w:bCs/>
          <w:sz w:val="32"/>
          <w:szCs w:val="32"/>
          <w:lang w:val="en-GB"/>
        </w:rPr>
        <w:t>3.1</w:t>
      </w:r>
      <w:r w:rsidR="00687A72" w:rsidRPr="009E0464">
        <w:rPr>
          <w:b/>
          <w:bCs/>
          <w:sz w:val="32"/>
          <w:szCs w:val="32"/>
          <w:lang w:val="en-GB"/>
        </w:rPr>
        <w:t xml:space="preserve"> </w:t>
      </w:r>
      <w:r w:rsidR="00687A72" w:rsidRPr="009E0464">
        <w:rPr>
          <w:b/>
          <w:bCs/>
          <w:sz w:val="32"/>
          <w:szCs w:val="32"/>
          <w:u w:val="single"/>
          <w:lang w:val="en-GB"/>
        </w:rPr>
        <w:t>Banking Sector Health</w:t>
      </w:r>
      <w:r w:rsidR="00687A72" w:rsidRPr="009E0464">
        <w:rPr>
          <w:b/>
          <w:bCs/>
          <w:sz w:val="32"/>
          <w:szCs w:val="32"/>
          <w:lang w:val="en-GB"/>
        </w:rPr>
        <w:t>:</w:t>
      </w:r>
    </w:p>
    <w:p w:rsidR="00687A72" w:rsidRDefault="00687A72" w:rsidP="00687A72">
      <w:pPr>
        <w:rPr>
          <w:sz w:val="28"/>
          <w:szCs w:val="28"/>
          <w:lang w:val="en-GB"/>
        </w:rPr>
      </w:pPr>
      <w:r w:rsidRPr="00311A71">
        <w:rPr>
          <w:sz w:val="28"/>
          <w:szCs w:val="28"/>
          <w:lang w:val="en-GB"/>
        </w:rPr>
        <w:t>The Indian banking sector remained stable and strong during the review period despite global uncertainty and geopolitical tensions. According to the RBI Financial Stability Report, scheduled commercial banks (SCBs) maintained strong capital positions, better asset quality, and steady profitability.</w:t>
      </w:r>
    </w:p>
    <w:p w:rsidR="00044C03" w:rsidRPr="00311A71" w:rsidRDefault="00044C03" w:rsidP="00687A72">
      <w:pPr>
        <w:rPr>
          <w:sz w:val="28"/>
          <w:szCs w:val="28"/>
          <w:lang w:val="en-GB"/>
        </w:rPr>
      </w:pPr>
      <w:r w:rsidRPr="00044C03">
        <w:rPr>
          <w:sz w:val="28"/>
          <w:szCs w:val="28"/>
        </w:rPr>
        <w:t>This improved the overall resilience of the banking sector and strengthened investor confidence in the financial system.</w:t>
      </w:r>
    </w:p>
    <w:p w:rsidR="00687A72" w:rsidRPr="00311A71" w:rsidRDefault="00687A72" w:rsidP="00687A72">
      <w:pPr>
        <w:rPr>
          <w:sz w:val="28"/>
          <w:szCs w:val="28"/>
          <w:lang w:val="en-GB"/>
        </w:rPr>
      </w:pPr>
      <w:r w:rsidRPr="00311A71">
        <w:rPr>
          <w:sz w:val="28"/>
          <w:szCs w:val="28"/>
          <w:lang w:val="en-GB"/>
        </w:rPr>
        <w:t>The report also stated that the overall financial system was supported by healthy balance sheets, strong earnings, and sufficient liquidity. Stress test results showed that banks would still remain above the required regulatory capital levels even in difficult economic conditions.</w:t>
      </w:r>
    </w:p>
    <w:p w:rsidR="00F564D2" w:rsidRPr="004C0764" w:rsidRDefault="004B57AA" w:rsidP="00F564D2">
      <w:pPr>
        <w:spacing w:after="0" w:line="240" w:lineRule="auto"/>
        <w:rPr>
          <w:rFonts w:ascii="Times New Roman" w:eastAsia="Times New Roman" w:hAnsi="Times New Roman" w:cs="Times New Roman"/>
          <w:b/>
          <w:bCs/>
          <w:kern w:val="36"/>
          <w:sz w:val="48"/>
          <w:szCs w:val="48"/>
          <w:lang w:eastAsia="en-IN" w:bidi="hi-IN"/>
        </w:rPr>
      </w:pPr>
      <w:r>
        <w:rPr>
          <w:rFonts w:ascii="Times New Roman" w:eastAsia="Times New Roman" w:hAnsi="Times New Roman" w:cs="Times New Roman"/>
          <w:b/>
          <w:bCs/>
          <w:kern w:val="36"/>
          <w:sz w:val="48"/>
          <w:szCs w:val="48"/>
          <w:lang w:eastAsia="en-IN" w:bidi="hi-IN"/>
        </w:rPr>
        <w:t xml:space="preserve">                     </w:t>
      </w:r>
      <w:r w:rsidR="00433573">
        <w:rPr>
          <w:rFonts w:ascii="Times New Roman" w:eastAsia="Times New Roman" w:hAnsi="Times New Roman" w:cs="Times New Roman"/>
          <w:b/>
          <w:bCs/>
          <w:kern w:val="36"/>
          <w:sz w:val="48"/>
          <w:szCs w:val="48"/>
          <w:lang w:eastAsia="en-IN" w:bidi="hi-IN"/>
        </w:rPr>
        <w:t xml:space="preserve"> </w:t>
      </w:r>
      <w:r w:rsidR="004C0764">
        <w:rPr>
          <w:rFonts w:ascii="Times New Roman" w:eastAsia="Times New Roman" w:hAnsi="Times New Roman" w:cs="Times New Roman"/>
          <w:b/>
          <w:bCs/>
          <w:kern w:val="36"/>
          <w:sz w:val="48"/>
          <w:szCs w:val="48"/>
          <w:lang w:eastAsia="en-IN" w:bidi="hi-IN"/>
        </w:rPr>
        <w:t xml:space="preserve">   </w:t>
      </w:r>
      <w:r w:rsidRPr="00AD17EB">
        <w:rPr>
          <w:rFonts w:eastAsia="Times New Roman" w:cstheme="minorHAnsi"/>
          <w:b/>
          <w:bCs/>
          <w:sz w:val="28"/>
          <w:szCs w:val="28"/>
          <w:lang w:eastAsia="en-IN" w:bidi="hi-IN"/>
        </w:rPr>
        <w:t>Key Banking Sector Indicators</w:t>
      </w:r>
    </w:p>
    <w:tbl>
      <w:tblPr>
        <w:tblpPr w:leftFromText="180" w:rightFromText="180" w:vertAnchor="text" w:horzAnchor="margin" w:tblpXSpec="center" w:tblpY="234"/>
        <w:tblW w:w="6480" w:type="dxa"/>
        <w:tblLook w:val="04A0" w:firstRow="1" w:lastRow="0" w:firstColumn="1" w:lastColumn="0" w:noHBand="0" w:noVBand="1"/>
      </w:tblPr>
      <w:tblGrid>
        <w:gridCol w:w="2580"/>
        <w:gridCol w:w="2500"/>
        <w:gridCol w:w="1400"/>
      </w:tblGrid>
      <w:tr w:rsidR="004B57AA" w:rsidRPr="004B57AA" w:rsidTr="004B57AA">
        <w:trPr>
          <w:trHeight w:val="288"/>
        </w:trPr>
        <w:tc>
          <w:tcPr>
            <w:tcW w:w="2580" w:type="dxa"/>
            <w:tcBorders>
              <w:top w:val="single" w:sz="4" w:space="0" w:color="9BC2E6"/>
              <w:left w:val="single" w:sz="4" w:space="0" w:color="9BC2E6"/>
              <w:bottom w:val="single" w:sz="4" w:space="0" w:color="9BC2E6"/>
              <w:right w:val="nil"/>
            </w:tcBorders>
            <w:shd w:val="clear" w:color="000000" w:fill="525252"/>
            <w:vAlign w:val="center"/>
            <w:hideMark/>
          </w:tcPr>
          <w:p w:rsidR="004B57AA" w:rsidRPr="004B57AA" w:rsidRDefault="004B57AA" w:rsidP="004B57AA">
            <w:pPr>
              <w:spacing w:after="0" w:line="240" w:lineRule="auto"/>
              <w:jc w:val="center"/>
              <w:rPr>
                <w:rFonts w:ascii="Calibri" w:eastAsia="Times New Roman" w:hAnsi="Calibri" w:cs="Calibri"/>
                <w:b/>
                <w:bCs/>
                <w:color w:val="FFFFFF"/>
                <w:lang w:eastAsia="en-IN" w:bidi="hi-IN"/>
              </w:rPr>
            </w:pPr>
            <w:r w:rsidRPr="004B57AA">
              <w:rPr>
                <w:rFonts w:ascii="Calibri" w:eastAsia="Times New Roman" w:hAnsi="Calibri" w:cs="Calibri"/>
                <w:b/>
                <w:bCs/>
                <w:color w:val="FFFFFF"/>
                <w:lang w:eastAsia="en-IN" w:bidi="hi-IN"/>
              </w:rPr>
              <w:t>Indicator</w:t>
            </w:r>
          </w:p>
        </w:tc>
        <w:tc>
          <w:tcPr>
            <w:tcW w:w="2500" w:type="dxa"/>
            <w:tcBorders>
              <w:top w:val="single" w:sz="4" w:space="0" w:color="9BC2E6"/>
              <w:left w:val="nil"/>
              <w:bottom w:val="single" w:sz="4" w:space="0" w:color="9BC2E6"/>
              <w:right w:val="nil"/>
            </w:tcBorders>
            <w:shd w:val="clear" w:color="000000" w:fill="525252"/>
            <w:vAlign w:val="center"/>
            <w:hideMark/>
          </w:tcPr>
          <w:p w:rsidR="004B57AA" w:rsidRPr="004B57AA" w:rsidRDefault="004B57AA" w:rsidP="004B57AA">
            <w:pPr>
              <w:spacing w:after="0" w:line="240" w:lineRule="auto"/>
              <w:jc w:val="center"/>
              <w:rPr>
                <w:rFonts w:ascii="Calibri" w:eastAsia="Times New Roman" w:hAnsi="Calibri" w:cs="Calibri"/>
                <w:b/>
                <w:bCs/>
                <w:color w:val="FFFFFF"/>
                <w:lang w:eastAsia="en-IN" w:bidi="hi-IN"/>
              </w:rPr>
            </w:pPr>
            <w:r w:rsidRPr="004B57AA">
              <w:rPr>
                <w:rFonts w:ascii="Calibri" w:eastAsia="Times New Roman" w:hAnsi="Calibri" w:cs="Calibri"/>
                <w:b/>
                <w:bCs/>
                <w:color w:val="FFFFFF"/>
                <w:lang w:eastAsia="en-IN" w:bidi="hi-IN"/>
              </w:rPr>
              <w:t>Observation</w:t>
            </w:r>
          </w:p>
        </w:tc>
        <w:tc>
          <w:tcPr>
            <w:tcW w:w="1400" w:type="dxa"/>
            <w:tcBorders>
              <w:top w:val="single" w:sz="4" w:space="0" w:color="9BC2E6"/>
              <w:left w:val="nil"/>
              <w:bottom w:val="single" w:sz="4" w:space="0" w:color="9BC2E6"/>
              <w:right w:val="single" w:sz="4" w:space="0" w:color="9BC2E6"/>
            </w:tcBorders>
            <w:shd w:val="clear" w:color="000000" w:fill="525252"/>
            <w:vAlign w:val="center"/>
            <w:hideMark/>
          </w:tcPr>
          <w:p w:rsidR="004B57AA" w:rsidRPr="004B57AA" w:rsidRDefault="004B57AA" w:rsidP="004B57AA">
            <w:pPr>
              <w:spacing w:after="0" w:line="240" w:lineRule="auto"/>
              <w:jc w:val="center"/>
              <w:rPr>
                <w:rFonts w:ascii="Calibri" w:eastAsia="Times New Roman" w:hAnsi="Calibri" w:cs="Calibri"/>
                <w:b/>
                <w:bCs/>
                <w:color w:val="FFFFFF"/>
                <w:lang w:eastAsia="en-IN" w:bidi="hi-IN"/>
              </w:rPr>
            </w:pPr>
            <w:r w:rsidRPr="004B57AA">
              <w:rPr>
                <w:rFonts w:ascii="Calibri" w:eastAsia="Times New Roman" w:hAnsi="Calibri" w:cs="Calibri"/>
                <w:b/>
                <w:bCs/>
                <w:color w:val="FFFFFF"/>
                <w:lang w:eastAsia="en-IN" w:bidi="hi-IN"/>
              </w:rPr>
              <w:t>Trend</w:t>
            </w:r>
          </w:p>
        </w:tc>
      </w:tr>
      <w:tr w:rsidR="004B57AA" w:rsidRPr="004B57AA" w:rsidTr="004B57AA">
        <w:trPr>
          <w:trHeight w:val="288"/>
        </w:trPr>
        <w:tc>
          <w:tcPr>
            <w:tcW w:w="2580" w:type="dxa"/>
            <w:tcBorders>
              <w:top w:val="single" w:sz="4" w:space="0" w:color="9BC2E6"/>
              <w:left w:val="single" w:sz="4" w:space="0" w:color="9BC2E6"/>
              <w:bottom w:val="single" w:sz="4" w:space="0" w:color="9BC2E6"/>
              <w:right w:val="nil"/>
            </w:tcBorders>
            <w:shd w:val="clear" w:color="000000" w:fill="F8CBAD"/>
            <w:vAlign w:val="center"/>
            <w:hideMark/>
          </w:tcPr>
          <w:p w:rsidR="004B57AA" w:rsidRPr="004B57AA" w:rsidRDefault="004B57AA" w:rsidP="004B57AA">
            <w:pPr>
              <w:spacing w:after="0" w:line="240" w:lineRule="auto"/>
              <w:rPr>
                <w:rFonts w:ascii="Calibri" w:eastAsia="Times New Roman" w:hAnsi="Calibri" w:cs="Calibri"/>
                <w:color w:val="000000"/>
                <w:lang w:eastAsia="en-IN" w:bidi="hi-IN"/>
              </w:rPr>
            </w:pPr>
            <w:r w:rsidRPr="004B57AA">
              <w:rPr>
                <w:rFonts w:ascii="Calibri" w:eastAsia="Times New Roman" w:hAnsi="Calibri" w:cs="Calibri"/>
                <w:color w:val="000000"/>
                <w:lang w:eastAsia="en-IN" w:bidi="hi-IN"/>
              </w:rPr>
              <w:t>Gross NPA Ratio</w:t>
            </w:r>
          </w:p>
        </w:tc>
        <w:tc>
          <w:tcPr>
            <w:tcW w:w="2500" w:type="dxa"/>
            <w:tcBorders>
              <w:top w:val="single" w:sz="4" w:space="0" w:color="9BC2E6"/>
              <w:left w:val="nil"/>
              <w:bottom w:val="single" w:sz="4" w:space="0" w:color="9BC2E6"/>
              <w:right w:val="nil"/>
            </w:tcBorders>
            <w:shd w:val="clear" w:color="000000" w:fill="F8CBAD"/>
            <w:vAlign w:val="center"/>
            <w:hideMark/>
          </w:tcPr>
          <w:p w:rsidR="004B57AA" w:rsidRPr="004B57AA" w:rsidRDefault="004B57AA" w:rsidP="004B57AA">
            <w:pPr>
              <w:spacing w:after="0" w:line="240" w:lineRule="auto"/>
              <w:rPr>
                <w:rFonts w:ascii="Calibri" w:eastAsia="Times New Roman" w:hAnsi="Calibri" w:cs="Calibri"/>
                <w:color w:val="000000"/>
                <w:lang w:eastAsia="en-IN" w:bidi="hi-IN"/>
              </w:rPr>
            </w:pPr>
            <w:r w:rsidRPr="004B57AA">
              <w:rPr>
                <w:rFonts w:ascii="Calibri" w:eastAsia="Times New Roman" w:hAnsi="Calibri" w:cs="Calibri"/>
                <w:color w:val="000000"/>
                <w:lang w:eastAsia="en-IN" w:bidi="hi-IN"/>
              </w:rPr>
              <w:t>Multi-decadal low levels</w:t>
            </w:r>
          </w:p>
        </w:tc>
        <w:tc>
          <w:tcPr>
            <w:tcW w:w="1400" w:type="dxa"/>
            <w:tcBorders>
              <w:top w:val="single" w:sz="4" w:space="0" w:color="9BC2E6"/>
              <w:left w:val="nil"/>
              <w:bottom w:val="single" w:sz="4" w:space="0" w:color="9BC2E6"/>
              <w:right w:val="single" w:sz="4" w:space="0" w:color="9BC2E6"/>
            </w:tcBorders>
            <w:shd w:val="clear" w:color="000000" w:fill="F8CBAD"/>
            <w:vAlign w:val="center"/>
            <w:hideMark/>
          </w:tcPr>
          <w:p w:rsidR="004B57AA" w:rsidRPr="004B57AA" w:rsidRDefault="004B57AA" w:rsidP="004B57AA">
            <w:pPr>
              <w:spacing w:after="0" w:line="240" w:lineRule="auto"/>
              <w:rPr>
                <w:rFonts w:ascii="Calibri" w:eastAsia="Times New Roman" w:hAnsi="Calibri" w:cs="Calibri"/>
                <w:color w:val="000000"/>
                <w:lang w:eastAsia="en-IN" w:bidi="hi-IN"/>
              </w:rPr>
            </w:pPr>
            <w:r w:rsidRPr="004B57AA">
              <w:rPr>
                <w:rFonts w:ascii="Calibri" w:eastAsia="Times New Roman" w:hAnsi="Calibri" w:cs="Calibri"/>
                <w:color w:val="000000"/>
                <w:lang w:eastAsia="en-IN" w:bidi="hi-IN"/>
              </w:rPr>
              <w:t>Improving</w:t>
            </w:r>
          </w:p>
        </w:tc>
      </w:tr>
      <w:tr w:rsidR="004B57AA" w:rsidRPr="004B57AA" w:rsidTr="004B57AA">
        <w:trPr>
          <w:trHeight w:val="576"/>
        </w:trPr>
        <w:tc>
          <w:tcPr>
            <w:tcW w:w="2580" w:type="dxa"/>
            <w:tcBorders>
              <w:top w:val="single" w:sz="4" w:space="0" w:color="9BC2E6"/>
              <w:left w:val="single" w:sz="4" w:space="0" w:color="9BC2E6"/>
              <w:bottom w:val="single" w:sz="4" w:space="0" w:color="9BC2E6"/>
              <w:right w:val="nil"/>
            </w:tcBorders>
            <w:shd w:val="clear" w:color="000000" w:fill="FCE4D6"/>
            <w:vAlign w:val="center"/>
            <w:hideMark/>
          </w:tcPr>
          <w:p w:rsidR="004B57AA" w:rsidRPr="004B57AA" w:rsidRDefault="004B57AA" w:rsidP="004B57AA">
            <w:pPr>
              <w:spacing w:after="0" w:line="240" w:lineRule="auto"/>
              <w:rPr>
                <w:rFonts w:ascii="Calibri" w:eastAsia="Times New Roman" w:hAnsi="Calibri" w:cs="Calibri"/>
                <w:color w:val="000000"/>
                <w:lang w:eastAsia="en-IN" w:bidi="hi-IN"/>
              </w:rPr>
            </w:pPr>
            <w:r w:rsidRPr="004B57AA">
              <w:rPr>
                <w:rFonts w:ascii="Calibri" w:eastAsia="Times New Roman" w:hAnsi="Calibri" w:cs="Calibri"/>
                <w:color w:val="000000"/>
                <w:lang w:eastAsia="en-IN" w:bidi="hi-IN"/>
              </w:rPr>
              <w:t>Capital Adequacy Ratio (CRAR)</w:t>
            </w:r>
          </w:p>
        </w:tc>
        <w:tc>
          <w:tcPr>
            <w:tcW w:w="2500" w:type="dxa"/>
            <w:tcBorders>
              <w:top w:val="single" w:sz="4" w:space="0" w:color="9BC2E6"/>
              <w:left w:val="nil"/>
              <w:bottom w:val="single" w:sz="4" w:space="0" w:color="9BC2E6"/>
              <w:right w:val="nil"/>
            </w:tcBorders>
            <w:shd w:val="clear" w:color="000000" w:fill="FCE4D6"/>
            <w:vAlign w:val="center"/>
            <w:hideMark/>
          </w:tcPr>
          <w:p w:rsidR="004B57AA" w:rsidRPr="004B57AA" w:rsidRDefault="004B57AA" w:rsidP="004B57AA">
            <w:pPr>
              <w:spacing w:after="0" w:line="240" w:lineRule="auto"/>
              <w:rPr>
                <w:rFonts w:ascii="Calibri" w:eastAsia="Times New Roman" w:hAnsi="Calibri" w:cs="Calibri"/>
                <w:color w:val="000000"/>
                <w:lang w:eastAsia="en-IN" w:bidi="hi-IN"/>
              </w:rPr>
            </w:pPr>
            <w:r w:rsidRPr="004B57AA">
              <w:rPr>
                <w:rFonts w:ascii="Calibri" w:eastAsia="Times New Roman" w:hAnsi="Calibri" w:cs="Calibri"/>
                <w:color w:val="000000"/>
                <w:lang w:eastAsia="en-IN" w:bidi="hi-IN"/>
              </w:rPr>
              <w:t>Well above regulatory requirement</w:t>
            </w:r>
          </w:p>
        </w:tc>
        <w:tc>
          <w:tcPr>
            <w:tcW w:w="1400" w:type="dxa"/>
            <w:tcBorders>
              <w:top w:val="single" w:sz="4" w:space="0" w:color="9BC2E6"/>
              <w:left w:val="nil"/>
              <w:bottom w:val="single" w:sz="4" w:space="0" w:color="9BC2E6"/>
              <w:right w:val="single" w:sz="4" w:space="0" w:color="9BC2E6"/>
            </w:tcBorders>
            <w:shd w:val="clear" w:color="000000" w:fill="FCE4D6"/>
            <w:vAlign w:val="center"/>
            <w:hideMark/>
          </w:tcPr>
          <w:p w:rsidR="004B57AA" w:rsidRPr="004B57AA" w:rsidRDefault="004B57AA" w:rsidP="004B57AA">
            <w:pPr>
              <w:spacing w:after="0" w:line="240" w:lineRule="auto"/>
              <w:rPr>
                <w:rFonts w:ascii="Calibri" w:eastAsia="Times New Roman" w:hAnsi="Calibri" w:cs="Calibri"/>
                <w:color w:val="000000"/>
                <w:lang w:eastAsia="en-IN" w:bidi="hi-IN"/>
              </w:rPr>
            </w:pPr>
            <w:r w:rsidRPr="004B57AA">
              <w:rPr>
                <w:rFonts w:ascii="Calibri" w:eastAsia="Times New Roman" w:hAnsi="Calibri" w:cs="Calibri"/>
                <w:color w:val="000000"/>
                <w:lang w:eastAsia="en-IN" w:bidi="hi-IN"/>
              </w:rPr>
              <w:t>Stable</w:t>
            </w:r>
          </w:p>
        </w:tc>
      </w:tr>
      <w:tr w:rsidR="004B57AA" w:rsidRPr="004B57AA" w:rsidTr="004B57AA">
        <w:trPr>
          <w:trHeight w:val="576"/>
        </w:trPr>
        <w:tc>
          <w:tcPr>
            <w:tcW w:w="2580" w:type="dxa"/>
            <w:tcBorders>
              <w:top w:val="single" w:sz="4" w:space="0" w:color="9BC2E6"/>
              <w:left w:val="single" w:sz="4" w:space="0" w:color="9BC2E6"/>
              <w:bottom w:val="single" w:sz="4" w:space="0" w:color="9BC2E6"/>
              <w:right w:val="nil"/>
            </w:tcBorders>
            <w:shd w:val="clear" w:color="000000" w:fill="F8CBAD"/>
            <w:vAlign w:val="center"/>
            <w:hideMark/>
          </w:tcPr>
          <w:p w:rsidR="004B57AA" w:rsidRPr="004B57AA" w:rsidRDefault="004B57AA" w:rsidP="004B57AA">
            <w:pPr>
              <w:spacing w:after="0" w:line="240" w:lineRule="auto"/>
              <w:rPr>
                <w:rFonts w:ascii="Calibri" w:eastAsia="Times New Roman" w:hAnsi="Calibri" w:cs="Calibri"/>
                <w:color w:val="000000"/>
                <w:lang w:eastAsia="en-IN" w:bidi="hi-IN"/>
              </w:rPr>
            </w:pPr>
            <w:r w:rsidRPr="004B57AA">
              <w:rPr>
                <w:rFonts w:ascii="Calibri" w:eastAsia="Times New Roman" w:hAnsi="Calibri" w:cs="Calibri"/>
                <w:color w:val="000000"/>
                <w:lang w:eastAsia="en-IN" w:bidi="hi-IN"/>
              </w:rPr>
              <w:t>Return on Assets (ROA)</w:t>
            </w:r>
          </w:p>
        </w:tc>
        <w:tc>
          <w:tcPr>
            <w:tcW w:w="2500" w:type="dxa"/>
            <w:tcBorders>
              <w:top w:val="single" w:sz="4" w:space="0" w:color="9BC2E6"/>
              <w:left w:val="nil"/>
              <w:bottom w:val="single" w:sz="4" w:space="0" w:color="9BC2E6"/>
              <w:right w:val="nil"/>
            </w:tcBorders>
            <w:shd w:val="clear" w:color="000000" w:fill="F8CBAD"/>
            <w:vAlign w:val="center"/>
            <w:hideMark/>
          </w:tcPr>
          <w:p w:rsidR="004B57AA" w:rsidRPr="004B57AA" w:rsidRDefault="004B57AA" w:rsidP="004B57AA">
            <w:pPr>
              <w:spacing w:after="0" w:line="240" w:lineRule="auto"/>
              <w:rPr>
                <w:rFonts w:ascii="Calibri" w:eastAsia="Times New Roman" w:hAnsi="Calibri" w:cs="Calibri"/>
                <w:color w:val="000000"/>
                <w:lang w:eastAsia="en-IN" w:bidi="hi-IN"/>
              </w:rPr>
            </w:pPr>
            <w:r w:rsidRPr="004B57AA">
              <w:rPr>
                <w:rFonts w:ascii="Calibri" w:eastAsia="Times New Roman" w:hAnsi="Calibri" w:cs="Calibri"/>
                <w:color w:val="000000"/>
                <w:lang w:eastAsia="en-IN" w:bidi="hi-IN"/>
              </w:rPr>
              <w:t>Stable profitability</w:t>
            </w:r>
          </w:p>
        </w:tc>
        <w:tc>
          <w:tcPr>
            <w:tcW w:w="1400" w:type="dxa"/>
            <w:tcBorders>
              <w:top w:val="single" w:sz="4" w:space="0" w:color="9BC2E6"/>
              <w:left w:val="nil"/>
              <w:bottom w:val="single" w:sz="4" w:space="0" w:color="9BC2E6"/>
              <w:right w:val="single" w:sz="4" w:space="0" w:color="9BC2E6"/>
            </w:tcBorders>
            <w:shd w:val="clear" w:color="000000" w:fill="F8CBAD"/>
            <w:vAlign w:val="center"/>
            <w:hideMark/>
          </w:tcPr>
          <w:p w:rsidR="004B57AA" w:rsidRPr="004B57AA" w:rsidRDefault="004B57AA" w:rsidP="004B57AA">
            <w:pPr>
              <w:spacing w:after="0" w:line="240" w:lineRule="auto"/>
              <w:rPr>
                <w:rFonts w:ascii="Calibri" w:eastAsia="Times New Roman" w:hAnsi="Calibri" w:cs="Calibri"/>
                <w:color w:val="000000"/>
                <w:lang w:eastAsia="en-IN" w:bidi="hi-IN"/>
              </w:rPr>
            </w:pPr>
            <w:r w:rsidRPr="004B57AA">
              <w:rPr>
                <w:rFonts w:ascii="Calibri" w:eastAsia="Times New Roman" w:hAnsi="Calibri" w:cs="Calibri"/>
                <w:color w:val="000000"/>
                <w:lang w:eastAsia="en-IN" w:bidi="hi-IN"/>
              </w:rPr>
              <w:t>Positive</w:t>
            </w:r>
          </w:p>
        </w:tc>
      </w:tr>
      <w:tr w:rsidR="004B57AA" w:rsidRPr="004B57AA" w:rsidTr="004B57AA">
        <w:trPr>
          <w:trHeight w:val="576"/>
        </w:trPr>
        <w:tc>
          <w:tcPr>
            <w:tcW w:w="2580" w:type="dxa"/>
            <w:tcBorders>
              <w:top w:val="single" w:sz="4" w:space="0" w:color="9BC2E6"/>
              <w:left w:val="single" w:sz="4" w:space="0" w:color="9BC2E6"/>
              <w:bottom w:val="single" w:sz="4" w:space="0" w:color="9BC2E6"/>
              <w:right w:val="nil"/>
            </w:tcBorders>
            <w:shd w:val="clear" w:color="000000" w:fill="FCE4D6"/>
            <w:vAlign w:val="center"/>
            <w:hideMark/>
          </w:tcPr>
          <w:p w:rsidR="004B57AA" w:rsidRPr="004B57AA" w:rsidRDefault="004B57AA" w:rsidP="004B57AA">
            <w:pPr>
              <w:spacing w:after="0" w:line="240" w:lineRule="auto"/>
              <w:rPr>
                <w:rFonts w:ascii="Calibri" w:eastAsia="Times New Roman" w:hAnsi="Calibri" w:cs="Calibri"/>
                <w:color w:val="000000"/>
                <w:lang w:eastAsia="en-IN" w:bidi="hi-IN"/>
              </w:rPr>
            </w:pPr>
            <w:r w:rsidRPr="004B57AA">
              <w:rPr>
                <w:rFonts w:ascii="Calibri" w:eastAsia="Times New Roman" w:hAnsi="Calibri" w:cs="Calibri"/>
                <w:color w:val="000000"/>
                <w:lang w:eastAsia="en-IN" w:bidi="hi-IN"/>
              </w:rPr>
              <w:t>Credit Growth</w:t>
            </w:r>
          </w:p>
        </w:tc>
        <w:tc>
          <w:tcPr>
            <w:tcW w:w="2500" w:type="dxa"/>
            <w:tcBorders>
              <w:top w:val="single" w:sz="4" w:space="0" w:color="9BC2E6"/>
              <w:left w:val="nil"/>
              <w:bottom w:val="single" w:sz="4" w:space="0" w:color="9BC2E6"/>
              <w:right w:val="nil"/>
            </w:tcBorders>
            <w:shd w:val="clear" w:color="000000" w:fill="FCE4D6"/>
            <w:vAlign w:val="center"/>
            <w:hideMark/>
          </w:tcPr>
          <w:p w:rsidR="004B57AA" w:rsidRPr="004B57AA" w:rsidRDefault="004B57AA" w:rsidP="004B57AA">
            <w:pPr>
              <w:spacing w:after="0" w:line="240" w:lineRule="auto"/>
              <w:rPr>
                <w:rFonts w:ascii="Calibri" w:eastAsia="Times New Roman" w:hAnsi="Calibri" w:cs="Calibri"/>
                <w:color w:val="000000"/>
                <w:lang w:eastAsia="en-IN" w:bidi="hi-IN"/>
              </w:rPr>
            </w:pPr>
            <w:r w:rsidRPr="004B57AA">
              <w:rPr>
                <w:rFonts w:ascii="Calibri" w:eastAsia="Times New Roman" w:hAnsi="Calibri" w:cs="Calibri"/>
                <w:color w:val="000000"/>
                <w:lang w:eastAsia="en-IN" w:bidi="hi-IN"/>
              </w:rPr>
              <w:t>Double-digit growth with moderation</w:t>
            </w:r>
          </w:p>
        </w:tc>
        <w:tc>
          <w:tcPr>
            <w:tcW w:w="1400" w:type="dxa"/>
            <w:tcBorders>
              <w:top w:val="single" w:sz="4" w:space="0" w:color="9BC2E6"/>
              <w:left w:val="nil"/>
              <w:bottom w:val="single" w:sz="4" w:space="0" w:color="9BC2E6"/>
              <w:right w:val="single" w:sz="4" w:space="0" w:color="9BC2E6"/>
            </w:tcBorders>
            <w:shd w:val="clear" w:color="000000" w:fill="FCE4D6"/>
            <w:vAlign w:val="center"/>
            <w:hideMark/>
          </w:tcPr>
          <w:p w:rsidR="004B57AA" w:rsidRPr="004B57AA" w:rsidRDefault="004B57AA" w:rsidP="004B57AA">
            <w:pPr>
              <w:spacing w:after="0" w:line="240" w:lineRule="auto"/>
              <w:rPr>
                <w:rFonts w:ascii="Calibri" w:eastAsia="Times New Roman" w:hAnsi="Calibri" w:cs="Calibri"/>
                <w:color w:val="000000"/>
                <w:lang w:eastAsia="en-IN" w:bidi="hi-IN"/>
              </w:rPr>
            </w:pPr>
            <w:r w:rsidRPr="004B57AA">
              <w:rPr>
                <w:rFonts w:ascii="Calibri" w:eastAsia="Times New Roman" w:hAnsi="Calibri" w:cs="Calibri"/>
                <w:color w:val="000000"/>
                <w:lang w:eastAsia="en-IN" w:bidi="hi-IN"/>
              </w:rPr>
              <w:t>Stable</w:t>
            </w:r>
          </w:p>
        </w:tc>
      </w:tr>
      <w:tr w:rsidR="004B57AA" w:rsidRPr="004B57AA" w:rsidTr="004B57AA">
        <w:trPr>
          <w:trHeight w:val="576"/>
        </w:trPr>
        <w:tc>
          <w:tcPr>
            <w:tcW w:w="2580" w:type="dxa"/>
            <w:tcBorders>
              <w:top w:val="single" w:sz="4" w:space="0" w:color="9BC2E6"/>
              <w:left w:val="single" w:sz="4" w:space="0" w:color="9BC2E6"/>
              <w:bottom w:val="single" w:sz="4" w:space="0" w:color="9BC2E6"/>
              <w:right w:val="nil"/>
            </w:tcBorders>
            <w:shd w:val="clear" w:color="000000" w:fill="F8CBAD"/>
            <w:vAlign w:val="center"/>
            <w:hideMark/>
          </w:tcPr>
          <w:p w:rsidR="004B57AA" w:rsidRPr="004B57AA" w:rsidRDefault="004B57AA" w:rsidP="004B57AA">
            <w:pPr>
              <w:spacing w:after="0" w:line="240" w:lineRule="auto"/>
              <w:rPr>
                <w:rFonts w:ascii="Calibri" w:eastAsia="Times New Roman" w:hAnsi="Calibri" w:cs="Calibri"/>
                <w:color w:val="000000"/>
                <w:lang w:eastAsia="en-IN" w:bidi="hi-IN"/>
              </w:rPr>
            </w:pPr>
            <w:r w:rsidRPr="004B57AA">
              <w:rPr>
                <w:rFonts w:ascii="Calibri" w:eastAsia="Times New Roman" w:hAnsi="Calibri" w:cs="Calibri"/>
                <w:color w:val="000000"/>
                <w:lang w:eastAsia="en-IN" w:bidi="hi-IN"/>
              </w:rPr>
              <w:t>Liquidity Position</w:t>
            </w:r>
          </w:p>
        </w:tc>
        <w:tc>
          <w:tcPr>
            <w:tcW w:w="2500" w:type="dxa"/>
            <w:tcBorders>
              <w:top w:val="single" w:sz="4" w:space="0" w:color="9BC2E6"/>
              <w:left w:val="nil"/>
              <w:bottom w:val="single" w:sz="4" w:space="0" w:color="9BC2E6"/>
              <w:right w:val="nil"/>
            </w:tcBorders>
            <w:shd w:val="clear" w:color="000000" w:fill="F8CBAD"/>
            <w:vAlign w:val="center"/>
            <w:hideMark/>
          </w:tcPr>
          <w:p w:rsidR="004B57AA" w:rsidRPr="004B57AA" w:rsidRDefault="004B57AA" w:rsidP="004B57AA">
            <w:pPr>
              <w:spacing w:after="0" w:line="240" w:lineRule="auto"/>
              <w:rPr>
                <w:rFonts w:ascii="Calibri" w:eastAsia="Times New Roman" w:hAnsi="Calibri" w:cs="Calibri"/>
                <w:color w:val="000000"/>
                <w:lang w:eastAsia="en-IN" w:bidi="hi-IN"/>
              </w:rPr>
            </w:pPr>
            <w:r w:rsidRPr="004B57AA">
              <w:rPr>
                <w:rFonts w:ascii="Calibri" w:eastAsia="Times New Roman" w:hAnsi="Calibri" w:cs="Calibri"/>
                <w:color w:val="000000"/>
                <w:lang w:eastAsia="en-IN" w:bidi="hi-IN"/>
              </w:rPr>
              <w:t>Adequate buffers maintained</w:t>
            </w:r>
          </w:p>
        </w:tc>
        <w:tc>
          <w:tcPr>
            <w:tcW w:w="1400" w:type="dxa"/>
            <w:tcBorders>
              <w:top w:val="single" w:sz="4" w:space="0" w:color="9BC2E6"/>
              <w:left w:val="nil"/>
              <w:bottom w:val="single" w:sz="4" w:space="0" w:color="9BC2E6"/>
              <w:right w:val="single" w:sz="4" w:space="0" w:color="9BC2E6"/>
            </w:tcBorders>
            <w:shd w:val="clear" w:color="000000" w:fill="F8CBAD"/>
            <w:vAlign w:val="center"/>
            <w:hideMark/>
          </w:tcPr>
          <w:p w:rsidR="004B57AA" w:rsidRPr="004B57AA" w:rsidRDefault="004B57AA" w:rsidP="004B57AA">
            <w:pPr>
              <w:spacing w:after="0" w:line="240" w:lineRule="auto"/>
              <w:rPr>
                <w:rFonts w:ascii="Calibri" w:eastAsia="Times New Roman" w:hAnsi="Calibri" w:cs="Calibri"/>
                <w:color w:val="000000"/>
                <w:lang w:eastAsia="en-IN" w:bidi="hi-IN"/>
              </w:rPr>
            </w:pPr>
            <w:r w:rsidRPr="004B57AA">
              <w:rPr>
                <w:rFonts w:ascii="Calibri" w:eastAsia="Times New Roman" w:hAnsi="Calibri" w:cs="Calibri"/>
                <w:color w:val="000000"/>
                <w:lang w:eastAsia="en-IN" w:bidi="hi-IN"/>
              </w:rPr>
              <w:t>Strong</w:t>
            </w:r>
          </w:p>
        </w:tc>
      </w:tr>
    </w:tbl>
    <w:p w:rsidR="004B57AA" w:rsidRDefault="004B57AA" w:rsidP="004B57AA">
      <w:pPr>
        <w:rPr>
          <w:rFonts w:ascii="Times New Roman" w:eastAsia="Times New Roman" w:hAnsi="Times New Roman" w:cs="Times New Roman"/>
          <w:b/>
          <w:bCs/>
          <w:sz w:val="28"/>
          <w:szCs w:val="28"/>
          <w:lang w:eastAsia="en-IN" w:bidi="hi-IN"/>
        </w:rPr>
      </w:pPr>
    </w:p>
    <w:p w:rsidR="004B57AA" w:rsidRDefault="004B57AA" w:rsidP="004B57AA">
      <w:pPr>
        <w:rPr>
          <w:rFonts w:ascii="Times New Roman" w:eastAsia="Times New Roman" w:hAnsi="Times New Roman" w:cs="Times New Roman"/>
          <w:b/>
          <w:bCs/>
          <w:sz w:val="28"/>
          <w:szCs w:val="28"/>
          <w:lang w:eastAsia="en-IN" w:bidi="hi-IN"/>
        </w:rPr>
      </w:pPr>
    </w:p>
    <w:p w:rsidR="004B57AA" w:rsidRDefault="004B57AA" w:rsidP="004B57AA">
      <w:pPr>
        <w:rPr>
          <w:rFonts w:ascii="Times New Roman" w:eastAsia="Times New Roman" w:hAnsi="Times New Roman" w:cs="Times New Roman"/>
          <w:b/>
          <w:bCs/>
          <w:sz w:val="28"/>
          <w:szCs w:val="28"/>
          <w:lang w:eastAsia="en-IN" w:bidi="hi-IN"/>
        </w:rPr>
      </w:pPr>
    </w:p>
    <w:p w:rsidR="004B57AA" w:rsidRDefault="004B57AA" w:rsidP="004B57AA">
      <w:pPr>
        <w:rPr>
          <w:rFonts w:ascii="Times New Roman" w:eastAsia="Times New Roman" w:hAnsi="Times New Roman" w:cs="Times New Roman"/>
          <w:b/>
          <w:bCs/>
          <w:sz w:val="28"/>
          <w:szCs w:val="28"/>
          <w:lang w:eastAsia="en-IN" w:bidi="hi-IN"/>
        </w:rPr>
      </w:pPr>
    </w:p>
    <w:p w:rsidR="004B57AA" w:rsidRDefault="004B57AA" w:rsidP="004B57AA">
      <w:pPr>
        <w:rPr>
          <w:rFonts w:ascii="Times New Roman" w:eastAsia="Times New Roman" w:hAnsi="Times New Roman" w:cs="Times New Roman"/>
          <w:b/>
          <w:bCs/>
          <w:sz w:val="28"/>
          <w:szCs w:val="28"/>
          <w:lang w:eastAsia="en-IN" w:bidi="hi-IN"/>
        </w:rPr>
      </w:pPr>
    </w:p>
    <w:p w:rsidR="004B57AA" w:rsidRDefault="004B57AA" w:rsidP="004B57AA">
      <w:pPr>
        <w:rPr>
          <w:rFonts w:ascii="Times New Roman" w:eastAsia="Times New Roman" w:hAnsi="Times New Roman" w:cs="Times New Roman"/>
          <w:b/>
          <w:bCs/>
          <w:sz w:val="28"/>
          <w:szCs w:val="28"/>
          <w:lang w:eastAsia="en-IN" w:bidi="hi-IN"/>
        </w:rPr>
      </w:pPr>
    </w:p>
    <w:p w:rsidR="004B57AA" w:rsidRDefault="004B57AA" w:rsidP="004B57AA">
      <w:pPr>
        <w:rPr>
          <w:rFonts w:ascii="Times New Roman" w:eastAsia="Times New Roman" w:hAnsi="Times New Roman" w:cs="Times New Roman"/>
          <w:b/>
          <w:bCs/>
          <w:sz w:val="28"/>
          <w:szCs w:val="28"/>
          <w:lang w:eastAsia="en-IN" w:bidi="hi-IN"/>
        </w:rPr>
      </w:pPr>
    </w:p>
    <w:p w:rsidR="00C52155" w:rsidRDefault="00433573" w:rsidP="004B57AA">
      <w:r>
        <w:rPr>
          <w:rFonts w:ascii="Times New Roman" w:eastAsia="Times New Roman" w:hAnsi="Times New Roman" w:cs="Times New Roman"/>
          <w:b/>
          <w:bCs/>
          <w:sz w:val="28"/>
          <w:szCs w:val="28"/>
          <w:lang w:eastAsia="en-IN" w:bidi="hi-IN"/>
        </w:rPr>
        <w:t xml:space="preserve">                           </w:t>
      </w:r>
      <w:r w:rsidR="004B57AA">
        <w:rPr>
          <w:rFonts w:ascii="Times New Roman" w:eastAsia="Times New Roman" w:hAnsi="Times New Roman" w:cs="Times New Roman"/>
          <w:b/>
          <w:bCs/>
          <w:sz w:val="28"/>
          <w:szCs w:val="28"/>
          <w:lang w:eastAsia="en-IN" w:bidi="hi-IN"/>
        </w:rPr>
        <w:t>*</w:t>
      </w:r>
      <w:r w:rsidR="004B57AA">
        <w:rPr>
          <w:rStyle w:val="Strong"/>
        </w:rPr>
        <w:t>Source</w:t>
      </w:r>
      <w:r w:rsidR="004B57AA" w:rsidRPr="00433573">
        <w:rPr>
          <w:rStyle w:val="Strong"/>
          <w:b w:val="0"/>
          <w:bCs w:val="0"/>
        </w:rPr>
        <w:t>:</w:t>
      </w:r>
      <w:r w:rsidR="004B57AA" w:rsidRPr="00433573">
        <w:rPr>
          <w:b/>
          <w:bCs/>
        </w:rPr>
        <w:t xml:space="preserve"> RBI Financial Stability Report, December 2025</w:t>
      </w:r>
    </w:p>
    <w:p w:rsidR="004B57AA" w:rsidRDefault="004B57AA" w:rsidP="004B57AA"/>
    <w:p w:rsidR="004B57AA" w:rsidRDefault="004B57AA" w:rsidP="004B57AA">
      <w:pPr>
        <w:rPr>
          <w:b/>
          <w:bCs/>
          <w:sz w:val="28"/>
          <w:szCs w:val="28"/>
        </w:rPr>
      </w:pPr>
      <w:r>
        <w:rPr>
          <w:b/>
          <w:bCs/>
          <w:sz w:val="28"/>
          <w:szCs w:val="28"/>
        </w:rPr>
        <w:t xml:space="preserve">INSIGHTS: </w:t>
      </w:r>
    </w:p>
    <w:p w:rsidR="004B57AA" w:rsidRDefault="004B57AA" w:rsidP="004B57AA">
      <w:pPr>
        <w:rPr>
          <w:b/>
          <w:bCs/>
          <w:sz w:val="28"/>
          <w:szCs w:val="28"/>
        </w:rPr>
      </w:pPr>
      <w:r>
        <w:rPr>
          <w:b/>
          <w:bCs/>
          <w:sz w:val="28"/>
          <w:szCs w:val="28"/>
        </w:rPr>
        <w:t>1.</w:t>
      </w:r>
      <w:r w:rsidRPr="004B57AA">
        <w:t xml:space="preserve"> </w:t>
      </w:r>
      <w:r w:rsidRPr="004B57AA">
        <w:rPr>
          <w:sz w:val="28"/>
          <w:szCs w:val="28"/>
        </w:rPr>
        <w:t>The decline in Gross Non-Performing Assets (GNPAs) shows that banks have improved the quality of their loans, recovered more bad loans, and maintained better financial reserves for potential losses. As a result, banks now have stronger balance sheets and are better prepared to handle financial risks and economic shocks.</w:t>
      </w:r>
    </w:p>
    <w:p w:rsidR="004B57AA" w:rsidRPr="004B57AA" w:rsidRDefault="00D8151A" w:rsidP="004B57AA">
      <w:pPr>
        <w:rPr>
          <w:b/>
          <w:bCs/>
          <w:sz w:val="28"/>
          <w:szCs w:val="28"/>
        </w:rPr>
      </w:pPr>
      <w:r w:rsidRPr="00D8151A">
        <w:rPr>
          <w:b/>
          <w:bCs/>
          <w:sz w:val="28"/>
          <w:szCs w:val="28"/>
        </w:rPr>
        <w:t>2.</w:t>
      </w:r>
      <w:r>
        <w:rPr>
          <w:sz w:val="28"/>
          <w:szCs w:val="28"/>
        </w:rPr>
        <w:t xml:space="preserve"> </w:t>
      </w:r>
      <w:r w:rsidRPr="00D8151A">
        <w:rPr>
          <w:sz w:val="28"/>
          <w:szCs w:val="28"/>
        </w:rPr>
        <w:t>Strong capital adequacy ratios show that Indian banks have enough capital to absorb losses during economic stress or rising credit risks. In addition, stable profits and adequate liquidity have helped strengthen the overall resilience of the banking sector.</w:t>
      </w:r>
    </w:p>
    <w:p w:rsidR="004B57AA" w:rsidRDefault="00D8151A" w:rsidP="004B57AA">
      <w:pPr>
        <w:rPr>
          <w:sz w:val="28"/>
          <w:szCs w:val="28"/>
        </w:rPr>
      </w:pPr>
      <w:r w:rsidRPr="00D8151A">
        <w:rPr>
          <w:b/>
          <w:bCs/>
          <w:sz w:val="28"/>
          <w:szCs w:val="28"/>
        </w:rPr>
        <w:t>3.</w:t>
      </w:r>
      <w:r>
        <w:rPr>
          <w:b/>
          <w:bCs/>
          <w:sz w:val="28"/>
          <w:szCs w:val="28"/>
        </w:rPr>
        <w:t xml:space="preserve"> </w:t>
      </w:r>
      <w:r w:rsidRPr="00D8151A">
        <w:rPr>
          <w:sz w:val="28"/>
          <w:szCs w:val="28"/>
        </w:rPr>
        <w:t>Although credit growth remained strong, it showed some moderation due to tighter financial conditions and cautious lending by banks amid global uncertainties.</w:t>
      </w:r>
    </w:p>
    <w:p w:rsidR="00AD17EB" w:rsidRDefault="00AD17EB" w:rsidP="004B57AA">
      <w:pPr>
        <w:rPr>
          <w:sz w:val="28"/>
          <w:szCs w:val="28"/>
        </w:rPr>
      </w:pPr>
    </w:p>
    <w:tbl>
      <w:tblPr>
        <w:tblpPr w:leftFromText="180" w:rightFromText="180" w:vertAnchor="text" w:horzAnchor="margin" w:tblpXSpec="center" w:tblpY="461"/>
        <w:tblW w:w="5476" w:type="dxa"/>
        <w:tblLook w:val="04A0" w:firstRow="1" w:lastRow="0" w:firstColumn="1" w:lastColumn="0" w:noHBand="0" w:noVBand="1"/>
      </w:tblPr>
      <w:tblGrid>
        <w:gridCol w:w="3476"/>
        <w:gridCol w:w="2000"/>
      </w:tblGrid>
      <w:tr w:rsidR="00AD17EB" w:rsidRPr="00AD17EB" w:rsidTr="00AD17EB">
        <w:trPr>
          <w:trHeight w:val="648"/>
        </w:trPr>
        <w:tc>
          <w:tcPr>
            <w:tcW w:w="3476" w:type="dxa"/>
            <w:tcBorders>
              <w:top w:val="single" w:sz="4" w:space="0" w:color="9BC2E6"/>
              <w:left w:val="single" w:sz="4" w:space="0" w:color="9BC2E6"/>
              <w:bottom w:val="single" w:sz="4" w:space="0" w:color="9BC2E6"/>
              <w:right w:val="nil"/>
            </w:tcBorders>
            <w:shd w:val="clear" w:color="000000" w:fill="305496"/>
            <w:vAlign w:val="center"/>
            <w:hideMark/>
          </w:tcPr>
          <w:p w:rsidR="00AD17EB" w:rsidRPr="00AD17EB" w:rsidRDefault="00AD17EB" w:rsidP="00AD17EB">
            <w:pPr>
              <w:spacing w:after="0" w:line="240" w:lineRule="auto"/>
              <w:jc w:val="center"/>
              <w:rPr>
                <w:rFonts w:ascii="Calibri" w:eastAsia="Times New Roman" w:hAnsi="Calibri" w:cs="Calibri"/>
                <w:b/>
                <w:bCs/>
                <w:color w:val="FFFFFF"/>
                <w:lang w:eastAsia="en-IN" w:bidi="hi-IN"/>
              </w:rPr>
            </w:pPr>
            <w:r w:rsidRPr="00AD17EB">
              <w:rPr>
                <w:rFonts w:ascii="Calibri" w:eastAsia="Times New Roman" w:hAnsi="Calibri" w:cs="Calibri"/>
                <w:b/>
                <w:bCs/>
                <w:color w:val="FFFFFF"/>
                <w:lang w:eastAsia="en-IN" w:bidi="hi-IN"/>
              </w:rPr>
              <w:t>Indicator</w:t>
            </w:r>
          </w:p>
        </w:tc>
        <w:tc>
          <w:tcPr>
            <w:tcW w:w="2000" w:type="dxa"/>
            <w:tcBorders>
              <w:top w:val="single" w:sz="4" w:space="0" w:color="9BC2E6"/>
              <w:left w:val="nil"/>
              <w:bottom w:val="single" w:sz="4" w:space="0" w:color="9BC2E6"/>
              <w:right w:val="single" w:sz="4" w:space="0" w:color="9BC2E6"/>
            </w:tcBorders>
            <w:shd w:val="clear" w:color="000000" w:fill="305496"/>
            <w:vAlign w:val="center"/>
            <w:hideMark/>
          </w:tcPr>
          <w:p w:rsidR="00AD17EB" w:rsidRPr="00AD17EB" w:rsidRDefault="00AD17EB" w:rsidP="00AD17EB">
            <w:pPr>
              <w:spacing w:after="0" w:line="240" w:lineRule="auto"/>
              <w:jc w:val="center"/>
              <w:rPr>
                <w:rFonts w:ascii="Calibri" w:eastAsia="Times New Roman" w:hAnsi="Calibri" w:cs="Calibri"/>
                <w:b/>
                <w:bCs/>
                <w:color w:val="FFFFFF"/>
                <w:lang w:eastAsia="en-IN" w:bidi="hi-IN"/>
              </w:rPr>
            </w:pPr>
            <w:r w:rsidRPr="00AD17EB">
              <w:rPr>
                <w:rFonts w:ascii="Calibri" w:eastAsia="Times New Roman" w:hAnsi="Calibri" w:cs="Calibri"/>
                <w:b/>
                <w:bCs/>
                <w:color w:val="FFFFFF"/>
                <w:lang w:eastAsia="en-IN" w:bidi="hi-IN"/>
              </w:rPr>
              <w:t>Approximate Level</w:t>
            </w:r>
          </w:p>
        </w:tc>
      </w:tr>
      <w:tr w:rsidR="00AD17EB" w:rsidRPr="00AD17EB" w:rsidTr="00AD17EB">
        <w:trPr>
          <w:trHeight w:val="288"/>
        </w:trPr>
        <w:tc>
          <w:tcPr>
            <w:tcW w:w="3476" w:type="dxa"/>
            <w:tcBorders>
              <w:top w:val="single" w:sz="4" w:space="0" w:color="9BC2E6"/>
              <w:left w:val="single" w:sz="4" w:space="0" w:color="9BC2E6"/>
              <w:bottom w:val="single" w:sz="4" w:space="0" w:color="9BC2E6"/>
              <w:right w:val="nil"/>
            </w:tcBorders>
            <w:shd w:val="clear" w:color="000000" w:fill="F8CBAD"/>
            <w:vAlign w:val="center"/>
            <w:hideMark/>
          </w:tcPr>
          <w:p w:rsidR="00AD17EB" w:rsidRPr="00AD17EB" w:rsidRDefault="00AD17EB" w:rsidP="00AD17EB">
            <w:pPr>
              <w:spacing w:after="0" w:line="240" w:lineRule="auto"/>
              <w:rPr>
                <w:rFonts w:ascii="Calibri" w:eastAsia="Times New Roman" w:hAnsi="Calibri" w:cs="Calibri"/>
                <w:b/>
                <w:bCs/>
                <w:color w:val="000000"/>
                <w:lang w:eastAsia="en-IN" w:bidi="hi-IN"/>
              </w:rPr>
            </w:pPr>
            <w:r w:rsidRPr="00AD17EB">
              <w:rPr>
                <w:rFonts w:ascii="Calibri" w:eastAsia="Times New Roman" w:hAnsi="Calibri" w:cs="Calibri"/>
                <w:b/>
                <w:bCs/>
                <w:color w:val="000000"/>
                <w:lang w:eastAsia="en-IN" w:bidi="hi-IN"/>
              </w:rPr>
              <w:t>CRAR</w:t>
            </w:r>
          </w:p>
        </w:tc>
        <w:tc>
          <w:tcPr>
            <w:tcW w:w="2000" w:type="dxa"/>
            <w:tcBorders>
              <w:top w:val="single" w:sz="4" w:space="0" w:color="9BC2E6"/>
              <w:left w:val="nil"/>
              <w:bottom w:val="single" w:sz="4" w:space="0" w:color="9BC2E6"/>
              <w:right w:val="single" w:sz="4" w:space="0" w:color="9BC2E6"/>
            </w:tcBorders>
            <w:shd w:val="clear" w:color="000000" w:fill="F8CBAD"/>
            <w:vAlign w:val="center"/>
            <w:hideMark/>
          </w:tcPr>
          <w:p w:rsidR="00AD17EB" w:rsidRPr="00AD17EB" w:rsidRDefault="00AD17EB" w:rsidP="00AD17EB">
            <w:pPr>
              <w:spacing w:after="0" w:line="240" w:lineRule="auto"/>
              <w:rPr>
                <w:rFonts w:ascii="Calibri" w:eastAsia="Times New Roman" w:hAnsi="Calibri" w:cs="Calibri"/>
                <w:b/>
                <w:bCs/>
                <w:color w:val="000000"/>
                <w:lang w:eastAsia="en-IN" w:bidi="hi-IN"/>
              </w:rPr>
            </w:pPr>
            <w:r w:rsidRPr="00AD17EB">
              <w:rPr>
                <w:rFonts w:ascii="Calibri" w:eastAsia="Times New Roman" w:hAnsi="Calibri" w:cs="Calibri"/>
                <w:b/>
                <w:bCs/>
                <w:color w:val="000000"/>
                <w:lang w:eastAsia="en-IN" w:bidi="hi-IN"/>
              </w:rPr>
              <w:t>16–17%</w:t>
            </w:r>
          </w:p>
        </w:tc>
      </w:tr>
      <w:tr w:rsidR="00AD17EB" w:rsidRPr="00AD17EB" w:rsidTr="00AD17EB">
        <w:trPr>
          <w:trHeight w:val="288"/>
        </w:trPr>
        <w:tc>
          <w:tcPr>
            <w:tcW w:w="3476" w:type="dxa"/>
            <w:tcBorders>
              <w:top w:val="single" w:sz="4" w:space="0" w:color="9BC2E6"/>
              <w:left w:val="single" w:sz="4" w:space="0" w:color="9BC2E6"/>
              <w:bottom w:val="single" w:sz="4" w:space="0" w:color="9BC2E6"/>
              <w:right w:val="nil"/>
            </w:tcBorders>
            <w:shd w:val="clear" w:color="000000" w:fill="FCE4D6"/>
            <w:vAlign w:val="center"/>
            <w:hideMark/>
          </w:tcPr>
          <w:p w:rsidR="00AD17EB" w:rsidRPr="00AD17EB" w:rsidRDefault="00AD17EB" w:rsidP="00AD17EB">
            <w:pPr>
              <w:spacing w:after="0" w:line="240" w:lineRule="auto"/>
              <w:rPr>
                <w:rFonts w:ascii="Calibri" w:eastAsia="Times New Roman" w:hAnsi="Calibri" w:cs="Calibri"/>
                <w:b/>
                <w:bCs/>
                <w:color w:val="000000"/>
                <w:lang w:eastAsia="en-IN" w:bidi="hi-IN"/>
              </w:rPr>
            </w:pPr>
            <w:r w:rsidRPr="00AD17EB">
              <w:rPr>
                <w:rFonts w:ascii="Calibri" w:eastAsia="Times New Roman" w:hAnsi="Calibri" w:cs="Calibri"/>
                <w:b/>
                <w:bCs/>
                <w:color w:val="000000"/>
                <w:lang w:eastAsia="en-IN" w:bidi="hi-IN"/>
              </w:rPr>
              <w:t>ROA</w:t>
            </w:r>
          </w:p>
        </w:tc>
        <w:tc>
          <w:tcPr>
            <w:tcW w:w="2000" w:type="dxa"/>
            <w:tcBorders>
              <w:top w:val="single" w:sz="4" w:space="0" w:color="9BC2E6"/>
              <w:left w:val="nil"/>
              <w:bottom w:val="single" w:sz="4" w:space="0" w:color="9BC2E6"/>
              <w:right w:val="single" w:sz="4" w:space="0" w:color="9BC2E6"/>
            </w:tcBorders>
            <w:shd w:val="clear" w:color="000000" w:fill="FCE4D6"/>
            <w:vAlign w:val="center"/>
            <w:hideMark/>
          </w:tcPr>
          <w:p w:rsidR="00AD17EB" w:rsidRPr="00AD17EB" w:rsidRDefault="00AD17EB" w:rsidP="00AD17EB">
            <w:pPr>
              <w:spacing w:after="0" w:line="240" w:lineRule="auto"/>
              <w:rPr>
                <w:rFonts w:ascii="Calibri" w:eastAsia="Times New Roman" w:hAnsi="Calibri" w:cs="Calibri"/>
                <w:b/>
                <w:bCs/>
                <w:color w:val="000000"/>
                <w:lang w:eastAsia="en-IN" w:bidi="hi-IN"/>
              </w:rPr>
            </w:pPr>
            <w:r w:rsidRPr="00AD17EB">
              <w:rPr>
                <w:rFonts w:ascii="Calibri" w:eastAsia="Times New Roman" w:hAnsi="Calibri" w:cs="Calibri"/>
                <w:b/>
                <w:bCs/>
                <w:color w:val="000000"/>
                <w:lang w:eastAsia="en-IN" w:bidi="hi-IN"/>
              </w:rPr>
              <w:t>1.3–1.4%</w:t>
            </w:r>
          </w:p>
        </w:tc>
      </w:tr>
      <w:tr w:rsidR="00AD17EB" w:rsidRPr="00AD17EB" w:rsidTr="00AD17EB">
        <w:trPr>
          <w:trHeight w:val="576"/>
        </w:trPr>
        <w:tc>
          <w:tcPr>
            <w:tcW w:w="3476" w:type="dxa"/>
            <w:tcBorders>
              <w:top w:val="nil"/>
              <w:left w:val="nil"/>
              <w:bottom w:val="nil"/>
              <w:right w:val="nil"/>
            </w:tcBorders>
            <w:shd w:val="clear" w:color="000000" w:fill="F8CBAD"/>
            <w:vAlign w:val="center"/>
            <w:hideMark/>
          </w:tcPr>
          <w:p w:rsidR="00AD17EB" w:rsidRPr="00AD17EB" w:rsidRDefault="00AD17EB" w:rsidP="00AD17EB">
            <w:pPr>
              <w:spacing w:after="0" w:line="240" w:lineRule="auto"/>
              <w:rPr>
                <w:rFonts w:ascii="Calibri" w:eastAsia="Times New Roman" w:hAnsi="Calibri" w:cs="Calibri"/>
                <w:b/>
                <w:bCs/>
                <w:color w:val="000000"/>
                <w:lang w:eastAsia="en-IN" w:bidi="hi-IN"/>
              </w:rPr>
            </w:pPr>
            <w:r w:rsidRPr="00AD17EB">
              <w:rPr>
                <w:rFonts w:ascii="Calibri" w:eastAsia="Times New Roman" w:hAnsi="Calibri" w:cs="Calibri"/>
                <w:b/>
                <w:bCs/>
                <w:color w:val="000000"/>
                <w:lang w:eastAsia="en-IN" w:bidi="hi-IN"/>
              </w:rPr>
              <w:t>Credit Growth</w:t>
            </w:r>
          </w:p>
        </w:tc>
        <w:tc>
          <w:tcPr>
            <w:tcW w:w="2000" w:type="dxa"/>
            <w:tcBorders>
              <w:top w:val="nil"/>
              <w:left w:val="nil"/>
              <w:bottom w:val="nil"/>
              <w:right w:val="nil"/>
            </w:tcBorders>
            <w:shd w:val="clear" w:color="000000" w:fill="F8CBAD"/>
            <w:vAlign w:val="center"/>
            <w:hideMark/>
          </w:tcPr>
          <w:p w:rsidR="00AD17EB" w:rsidRPr="00AD17EB" w:rsidRDefault="00AD17EB" w:rsidP="00AD17EB">
            <w:pPr>
              <w:spacing w:after="0" w:line="240" w:lineRule="auto"/>
              <w:rPr>
                <w:rFonts w:ascii="Calibri" w:eastAsia="Times New Roman" w:hAnsi="Calibri" w:cs="Calibri"/>
                <w:b/>
                <w:bCs/>
                <w:color w:val="000000"/>
                <w:lang w:eastAsia="en-IN" w:bidi="hi-IN"/>
              </w:rPr>
            </w:pPr>
            <w:r w:rsidRPr="00AD17EB">
              <w:rPr>
                <w:rFonts w:ascii="Calibri" w:eastAsia="Times New Roman" w:hAnsi="Calibri" w:cs="Calibri"/>
                <w:b/>
                <w:bCs/>
                <w:color w:val="000000"/>
                <w:lang w:eastAsia="en-IN" w:bidi="hi-IN"/>
              </w:rPr>
              <w:t>12–15%</w:t>
            </w:r>
          </w:p>
        </w:tc>
      </w:tr>
      <w:tr w:rsidR="00AD17EB" w:rsidRPr="00AD17EB" w:rsidTr="00AD17EB">
        <w:trPr>
          <w:trHeight w:val="288"/>
        </w:trPr>
        <w:tc>
          <w:tcPr>
            <w:tcW w:w="3476" w:type="dxa"/>
            <w:tcBorders>
              <w:top w:val="nil"/>
              <w:left w:val="nil"/>
              <w:bottom w:val="nil"/>
              <w:right w:val="nil"/>
            </w:tcBorders>
            <w:shd w:val="clear" w:color="000000" w:fill="FCE4D6"/>
            <w:vAlign w:val="center"/>
            <w:hideMark/>
          </w:tcPr>
          <w:p w:rsidR="00AD17EB" w:rsidRPr="00AD17EB" w:rsidRDefault="00AD17EB" w:rsidP="00AD17EB">
            <w:pPr>
              <w:spacing w:after="0" w:line="240" w:lineRule="auto"/>
              <w:rPr>
                <w:rFonts w:ascii="Calibri" w:eastAsia="Times New Roman" w:hAnsi="Calibri" w:cs="Calibri"/>
                <w:b/>
                <w:bCs/>
                <w:color w:val="000000"/>
                <w:lang w:eastAsia="en-IN" w:bidi="hi-IN"/>
              </w:rPr>
            </w:pPr>
            <w:r w:rsidRPr="00AD17EB">
              <w:rPr>
                <w:rFonts w:ascii="Calibri" w:eastAsia="Times New Roman" w:hAnsi="Calibri" w:cs="Calibri"/>
                <w:b/>
                <w:bCs/>
                <w:color w:val="000000"/>
                <w:lang w:eastAsia="en-IN" w:bidi="hi-IN"/>
              </w:rPr>
              <w:t>GNPA</w:t>
            </w:r>
          </w:p>
        </w:tc>
        <w:tc>
          <w:tcPr>
            <w:tcW w:w="2000" w:type="dxa"/>
            <w:tcBorders>
              <w:top w:val="nil"/>
              <w:left w:val="nil"/>
              <w:bottom w:val="nil"/>
              <w:right w:val="nil"/>
            </w:tcBorders>
            <w:shd w:val="clear" w:color="000000" w:fill="FCE4D6"/>
            <w:vAlign w:val="center"/>
            <w:hideMark/>
          </w:tcPr>
          <w:p w:rsidR="00AD17EB" w:rsidRPr="00AD17EB" w:rsidRDefault="00AD17EB" w:rsidP="00AD17EB">
            <w:pPr>
              <w:spacing w:after="0" w:line="240" w:lineRule="auto"/>
              <w:rPr>
                <w:rFonts w:ascii="Calibri" w:eastAsia="Times New Roman" w:hAnsi="Calibri" w:cs="Calibri"/>
                <w:b/>
                <w:bCs/>
                <w:color w:val="000000"/>
                <w:lang w:eastAsia="en-IN" w:bidi="hi-IN"/>
              </w:rPr>
            </w:pPr>
            <w:r w:rsidRPr="00AD17EB">
              <w:rPr>
                <w:rFonts w:ascii="Calibri" w:eastAsia="Times New Roman" w:hAnsi="Calibri" w:cs="Calibri"/>
                <w:b/>
                <w:bCs/>
                <w:color w:val="000000"/>
                <w:lang w:eastAsia="en-IN" w:bidi="hi-IN"/>
              </w:rPr>
              <w:t>2–3%</w:t>
            </w:r>
          </w:p>
        </w:tc>
      </w:tr>
    </w:tbl>
    <w:p w:rsidR="00AD17EB" w:rsidRDefault="00AD17EB" w:rsidP="004B57AA">
      <w:pPr>
        <w:rPr>
          <w:b/>
          <w:bCs/>
          <w:sz w:val="28"/>
          <w:szCs w:val="28"/>
        </w:rPr>
      </w:pPr>
      <w:r>
        <w:rPr>
          <w:b/>
          <w:bCs/>
          <w:sz w:val="28"/>
          <w:szCs w:val="28"/>
        </w:rPr>
        <w:t xml:space="preserve">                             </w:t>
      </w:r>
      <w:r w:rsidR="009E0464">
        <w:rPr>
          <w:b/>
          <w:bCs/>
          <w:sz w:val="28"/>
          <w:szCs w:val="28"/>
        </w:rPr>
        <w:t xml:space="preserve"> </w:t>
      </w:r>
      <w:r>
        <w:rPr>
          <w:b/>
          <w:bCs/>
          <w:sz w:val="28"/>
          <w:szCs w:val="28"/>
        </w:rPr>
        <w:t>KEY BANKING SECTOR INDICATORS – FY 2025</w:t>
      </w:r>
    </w:p>
    <w:p w:rsidR="009E0464" w:rsidRDefault="009E0464" w:rsidP="00AD17EB">
      <w:pPr>
        <w:rPr>
          <w:b/>
          <w:bCs/>
          <w:sz w:val="28"/>
          <w:szCs w:val="28"/>
        </w:rPr>
      </w:pPr>
    </w:p>
    <w:p w:rsidR="009E0464" w:rsidRDefault="009E0464" w:rsidP="00AD17EB">
      <w:pPr>
        <w:rPr>
          <w:b/>
          <w:bCs/>
          <w:sz w:val="28"/>
          <w:szCs w:val="28"/>
        </w:rPr>
      </w:pPr>
    </w:p>
    <w:p w:rsidR="009E0464" w:rsidRDefault="009E0464" w:rsidP="00AD17EB">
      <w:pPr>
        <w:rPr>
          <w:b/>
          <w:bCs/>
          <w:sz w:val="28"/>
          <w:szCs w:val="28"/>
        </w:rPr>
      </w:pPr>
    </w:p>
    <w:p w:rsidR="00433573" w:rsidRDefault="009E0464" w:rsidP="00AD17EB">
      <w:pPr>
        <w:rPr>
          <w:b/>
          <w:bCs/>
          <w:sz w:val="28"/>
          <w:szCs w:val="28"/>
        </w:rPr>
      </w:pPr>
      <w:r>
        <w:rPr>
          <w:b/>
          <w:bCs/>
          <w:sz w:val="28"/>
          <w:szCs w:val="28"/>
        </w:rPr>
        <w:t xml:space="preserve">                                  </w:t>
      </w:r>
      <w:r w:rsidR="00AD17EB">
        <w:rPr>
          <w:b/>
          <w:bCs/>
          <w:sz w:val="28"/>
          <w:szCs w:val="28"/>
        </w:rPr>
        <w:t xml:space="preserve">                      </w:t>
      </w:r>
    </w:p>
    <w:p w:rsidR="004C0764" w:rsidRDefault="00433573" w:rsidP="004C0764">
      <w:pPr>
        <w:rPr>
          <w:b/>
          <w:bCs/>
        </w:rPr>
      </w:pPr>
      <w:r>
        <w:rPr>
          <w:b/>
          <w:bCs/>
          <w:sz w:val="28"/>
          <w:szCs w:val="28"/>
        </w:rPr>
        <w:t xml:space="preserve">                      </w:t>
      </w:r>
      <w:r w:rsidR="004C0764">
        <w:rPr>
          <w:b/>
          <w:bCs/>
          <w:sz w:val="28"/>
          <w:szCs w:val="28"/>
        </w:rPr>
        <w:t xml:space="preserve">            *</w:t>
      </w:r>
      <w:r w:rsidR="004C0764" w:rsidRPr="00433573">
        <w:rPr>
          <w:b/>
          <w:bCs/>
        </w:rPr>
        <w:t>Source: RBI Financial Stability Report, June 2025</w:t>
      </w:r>
      <w:r w:rsidR="00552017">
        <w:rPr>
          <w:b/>
          <w:bCs/>
        </w:rPr>
        <w:t xml:space="preserve"> </w:t>
      </w:r>
    </w:p>
    <w:p w:rsidR="00552017" w:rsidRDefault="00552017" w:rsidP="00552017">
      <w:r>
        <w:rPr>
          <w:b/>
          <w:bCs/>
          <w:sz w:val="28"/>
          <w:szCs w:val="28"/>
        </w:rPr>
        <w:t>Understanding the Indicator’s Ranges:</w:t>
      </w:r>
      <w:r w:rsidRPr="00552017">
        <w:t xml:space="preserve"> </w:t>
      </w:r>
    </w:p>
    <w:p w:rsidR="00552017" w:rsidRPr="00552017" w:rsidRDefault="00552017" w:rsidP="00552017">
      <w:pPr>
        <w:rPr>
          <w:b/>
          <w:bCs/>
          <w:sz w:val="28"/>
          <w:szCs w:val="28"/>
        </w:rPr>
      </w:pPr>
      <w:r w:rsidRPr="00552017">
        <w:rPr>
          <w:b/>
          <w:bCs/>
          <w:sz w:val="28"/>
          <w:szCs w:val="28"/>
        </w:rPr>
        <w:t>CRAR: 16–17%</w:t>
      </w:r>
      <w:r>
        <w:rPr>
          <w:b/>
          <w:bCs/>
          <w:sz w:val="28"/>
          <w:szCs w:val="28"/>
        </w:rPr>
        <w:t xml:space="preserve">: </w:t>
      </w:r>
      <w:r w:rsidRPr="00552017">
        <w:rPr>
          <w:sz w:val="28"/>
          <w:szCs w:val="28"/>
        </w:rPr>
        <w:t>Means most</w:t>
      </w:r>
      <w:r w:rsidRPr="00552017">
        <w:rPr>
          <w:b/>
          <w:bCs/>
          <w:sz w:val="28"/>
          <w:szCs w:val="28"/>
        </w:rPr>
        <w:t xml:space="preserve"> </w:t>
      </w:r>
      <w:r w:rsidRPr="00552017">
        <w:rPr>
          <w:sz w:val="28"/>
          <w:szCs w:val="28"/>
        </w:rPr>
        <w:t>banks had capital adequacy between 16% and 17%.</w:t>
      </w:r>
    </w:p>
    <w:p w:rsidR="00552017" w:rsidRPr="00552017" w:rsidRDefault="00552017" w:rsidP="00552017">
      <w:pPr>
        <w:rPr>
          <w:b/>
          <w:bCs/>
          <w:sz w:val="28"/>
          <w:szCs w:val="28"/>
        </w:rPr>
      </w:pPr>
      <w:r w:rsidRPr="00552017">
        <w:rPr>
          <w:b/>
          <w:bCs/>
          <w:sz w:val="28"/>
          <w:szCs w:val="28"/>
        </w:rPr>
        <w:t>ROA: 1.3–1.4%</w:t>
      </w:r>
      <w:r>
        <w:rPr>
          <w:b/>
          <w:bCs/>
          <w:sz w:val="28"/>
          <w:szCs w:val="28"/>
        </w:rPr>
        <w:t xml:space="preserve">: </w:t>
      </w:r>
      <w:r w:rsidRPr="00552017">
        <w:rPr>
          <w:sz w:val="28"/>
          <w:szCs w:val="28"/>
        </w:rPr>
        <w:t>Means banks earned around ₹1.3–₹1.4 profit for every ₹100 of assets used.</w:t>
      </w:r>
    </w:p>
    <w:p w:rsidR="00552017" w:rsidRDefault="00552017" w:rsidP="00552017">
      <w:pPr>
        <w:rPr>
          <w:b/>
          <w:bCs/>
          <w:sz w:val="28"/>
          <w:szCs w:val="28"/>
        </w:rPr>
      </w:pPr>
      <w:r w:rsidRPr="00552017">
        <w:rPr>
          <w:b/>
          <w:bCs/>
          <w:sz w:val="28"/>
          <w:szCs w:val="28"/>
        </w:rPr>
        <w:t>Credit Growth: 12–15%</w:t>
      </w:r>
      <w:r>
        <w:rPr>
          <w:b/>
          <w:bCs/>
          <w:sz w:val="28"/>
          <w:szCs w:val="28"/>
        </w:rPr>
        <w:t xml:space="preserve">: </w:t>
      </w:r>
      <w:r w:rsidRPr="00552017">
        <w:rPr>
          <w:sz w:val="28"/>
          <w:szCs w:val="28"/>
        </w:rPr>
        <w:t>Means bank lending increased by around 12% to 15% during the year.</w:t>
      </w:r>
    </w:p>
    <w:p w:rsidR="00552017" w:rsidRPr="00552017" w:rsidRDefault="00552017" w:rsidP="00552017">
      <w:pPr>
        <w:rPr>
          <w:b/>
          <w:bCs/>
          <w:sz w:val="28"/>
          <w:szCs w:val="28"/>
        </w:rPr>
      </w:pPr>
      <w:r w:rsidRPr="00552017">
        <w:rPr>
          <w:b/>
          <w:bCs/>
          <w:sz w:val="28"/>
          <w:szCs w:val="28"/>
        </w:rPr>
        <w:lastRenderedPageBreak/>
        <w:t>GNPA: 2–3%</w:t>
      </w:r>
      <w:r>
        <w:rPr>
          <w:b/>
          <w:bCs/>
          <w:sz w:val="28"/>
          <w:szCs w:val="28"/>
        </w:rPr>
        <w:t xml:space="preserve">: </w:t>
      </w:r>
      <w:r w:rsidRPr="00552017">
        <w:rPr>
          <w:sz w:val="28"/>
          <w:szCs w:val="28"/>
        </w:rPr>
        <w:t>Means bad loans were approximately 2% to 3% of total loans.</w:t>
      </w:r>
    </w:p>
    <w:p w:rsidR="00552017" w:rsidRPr="00552017" w:rsidRDefault="00552017" w:rsidP="00552017">
      <w:pPr>
        <w:rPr>
          <w:sz w:val="28"/>
          <w:szCs w:val="28"/>
        </w:rPr>
      </w:pPr>
      <w:r w:rsidRPr="00552017">
        <w:rPr>
          <w:sz w:val="28"/>
          <w:szCs w:val="28"/>
        </w:rPr>
        <w:t>A range is used instead of a single exact figure because banking indicators vary across banks and over different reporting periods. The figures shown represent approximate industry-wide levels during FY 2025.</w:t>
      </w:r>
    </w:p>
    <w:p w:rsidR="004C0764" w:rsidRDefault="004C0764" w:rsidP="00AD17EB">
      <w:pPr>
        <w:rPr>
          <w:b/>
          <w:bCs/>
          <w:sz w:val="28"/>
          <w:szCs w:val="28"/>
        </w:rPr>
      </w:pPr>
    </w:p>
    <w:p w:rsidR="004C0764" w:rsidRDefault="004C0764" w:rsidP="00AD17EB">
      <w:pPr>
        <w:rPr>
          <w:b/>
          <w:bCs/>
          <w:sz w:val="28"/>
          <w:szCs w:val="28"/>
        </w:rPr>
      </w:pPr>
    </w:p>
    <w:p w:rsidR="00AD17EB" w:rsidRDefault="00AA7C28" w:rsidP="00AD17EB">
      <w:pPr>
        <w:rPr>
          <w:b/>
          <w:bCs/>
          <w:sz w:val="28"/>
          <w:szCs w:val="28"/>
        </w:rPr>
      </w:pPr>
      <w:r>
        <w:rPr>
          <w:b/>
          <w:bCs/>
          <w:sz w:val="28"/>
          <w:szCs w:val="28"/>
        </w:rPr>
        <w:t xml:space="preserve">                       </w:t>
      </w:r>
      <w:r w:rsidR="00AD17EB">
        <w:rPr>
          <w:b/>
          <w:bCs/>
          <w:sz w:val="28"/>
          <w:szCs w:val="28"/>
        </w:rPr>
        <w:t xml:space="preserve"> GNPA TREND OF SCHEDULED COMMERCIAL BANKS</w:t>
      </w:r>
    </w:p>
    <w:p w:rsidR="00311A71" w:rsidRDefault="00311A71" w:rsidP="00AD17EB">
      <w:pPr>
        <w:rPr>
          <w:b/>
          <w:bCs/>
          <w:sz w:val="28"/>
          <w:szCs w:val="28"/>
        </w:rPr>
      </w:pPr>
      <w:r>
        <w:rPr>
          <w:noProof/>
          <w:lang w:eastAsia="en-IN" w:bidi="hi-IN"/>
        </w:rPr>
        <w:drawing>
          <wp:inline distT="0" distB="0" distL="0" distR="0" wp14:anchorId="473EF960" wp14:editId="55F1AD71">
            <wp:extent cx="5638800" cy="238125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AD17EB" w:rsidRDefault="00AD17EB" w:rsidP="00AD17EB">
      <w:pPr>
        <w:rPr>
          <w:sz w:val="28"/>
          <w:szCs w:val="28"/>
        </w:rPr>
      </w:pPr>
      <w:r>
        <w:rPr>
          <w:b/>
          <w:bCs/>
          <w:sz w:val="28"/>
          <w:szCs w:val="28"/>
        </w:rPr>
        <w:t xml:space="preserve"> </w:t>
      </w:r>
      <w:r w:rsidR="00311A71">
        <w:rPr>
          <w:b/>
          <w:bCs/>
          <w:sz w:val="28"/>
          <w:szCs w:val="28"/>
        </w:rPr>
        <w:t xml:space="preserve">INSIGHT: </w:t>
      </w:r>
      <w:r w:rsidR="00311A71" w:rsidRPr="00311A71">
        <w:rPr>
          <w:sz w:val="28"/>
          <w:szCs w:val="28"/>
        </w:rPr>
        <w:t>The declining GNPA ratio shows that banks have fewer bad loans, which improves asset quality and strengthens the overall financial stability of the Indian banking system.</w:t>
      </w:r>
    </w:p>
    <w:p w:rsidR="001D153A" w:rsidRDefault="00FB2811" w:rsidP="001D153A">
      <w:pPr>
        <w:rPr>
          <w:b/>
          <w:bCs/>
          <w:sz w:val="28"/>
          <w:szCs w:val="28"/>
        </w:rPr>
      </w:pPr>
      <w:r>
        <w:rPr>
          <w:sz w:val="28"/>
          <w:szCs w:val="28"/>
        </w:rPr>
        <w:t xml:space="preserve">                          </w:t>
      </w:r>
      <w:r w:rsidR="001D153A">
        <w:rPr>
          <w:b/>
          <w:bCs/>
          <w:sz w:val="28"/>
          <w:szCs w:val="28"/>
        </w:rPr>
        <w:t xml:space="preserve">CRAR TREND OF SCHEDULED COMMERCIAL BANKS </w:t>
      </w:r>
      <w:r>
        <w:rPr>
          <w:noProof/>
          <w:lang w:eastAsia="en-IN" w:bidi="hi-IN"/>
        </w:rPr>
        <w:drawing>
          <wp:inline distT="0" distB="0" distL="0" distR="0" wp14:anchorId="561FF15B" wp14:editId="227B1CA2">
            <wp:extent cx="5692140" cy="2411730"/>
            <wp:effectExtent l="0" t="0" r="3810" b="762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r>
        <w:rPr>
          <w:b/>
          <w:bCs/>
          <w:sz w:val="28"/>
          <w:szCs w:val="28"/>
        </w:rPr>
        <w:t xml:space="preserve">  </w:t>
      </w:r>
    </w:p>
    <w:p w:rsidR="00FB2811" w:rsidRDefault="00FB2811" w:rsidP="00FB2811">
      <w:pPr>
        <w:rPr>
          <w:b/>
          <w:bCs/>
        </w:rPr>
      </w:pPr>
      <w:r>
        <w:rPr>
          <w:b/>
          <w:bCs/>
        </w:rPr>
        <w:t xml:space="preserve">                         </w:t>
      </w:r>
      <w:r w:rsidRPr="001D153A">
        <w:rPr>
          <w:b/>
          <w:bCs/>
        </w:rPr>
        <w:t>*Source: RBI Financial Stability Report, June 2025 &amp; December 2025</w:t>
      </w:r>
    </w:p>
    <w:p w:rsidR="001D153A" w:rsidRPr="00FB2811" w:rsidRDefault="001D153A" w:rsidP="00AD17EB">
      <w:pPr>
        <w:rPr>
          <w:b/>
          <w:bCs/>
          <w:sz w:val="28"/>
          <w:szCs w:val="28"/>
        </w:rPr>
      </w:pPr>
      <w:bookmarkStart w:id="0" w:name="_GoBack"/>
      <w:bookmarkEnd w:id="0"/>
      <w:r w:rsidRPr="001D153A">
        <w:rPr>
          <w:b/>
          <w:bCs/>
          <w:sz w:val="28"/>
          <w:szCs w:val="28"/>
        </w:rPr>
        <w:lastRenderedPageBreak/>
        <w:t xml:space="preserve">INSIGHT: </w:t>
      </w:r>
      <w:r w:rsidRPr="001D153A">
        <w:rPr>
          <w:sz w:val="28"/>
          <w:szCs w:val="28"/>
        </w:rPr>
        <w:t>The stable rise in CRAR indicates that Indian banks maintained strong capital buffers and improved their ability to absorb financial shocks during the review period.</w:t>
      </w:r>
    </w:p>
    <w:p w:rsidR="00380640" w:rsidRDefault="00380640" w:rsidP="00311A71">
      <w:pPr>
        <w:rPr>
          <w:sz w:val="32"/>
          <w:szCs w:val="32"/>
          <w:lang w:val="en-GB"/>
        </w:rPr>
      </w:pPr>
    </w:p>
    <w:p w:rsidR="00311A71" w:rsidRPr="00380640" w:rsidRDefault="00A752B5" w:rsidP="00311A71">
      <w:pPr>
        <w:rPr>
          <w:b/>
          <w:bCs/>
          <w:sz w:val="32"/>
          <w:szCs w:val="32"/>
          <w:lang w:val="en-GB"/>
        </w:rPr>
      </w:pPr>
      <w:r w:rsidRPr="00380640">
        <w:rPr>
          <w:b/>
          <w:bCs/>
          <w:sz w:val="32"/>
          <w:szCs w:val="32"/>
          <w:lang w:val="en-GB"/>
        </w:rPr>
        <w:t>3.2</w:t>
      </w:r>
      <w:r w:rsidR="00311A71" w:rsidRPr="00380640">
        <w:rPr>
          <w:b/>
          <w:bCs/>
          <w:sz w:val="32"/>
          <w:szCs w:val="32"/>
          <w:lang w:val="en-GB"/>
        </w:rPr>
        <w:t xml:space="preserve"> </w:t>
      </w:r>
      <w:r w:rsidRPr="00380640">
        <w:rPr>
          <w:b/>
          <w:bCs/>
          <w:sz w:val="32"/>
          <w:szCs w:val="32"/>
          <w:u w:val="single"/>
          <w:lang w:val="en-GB"/>
        </w:rPr>
        <w:t>NBF</w:t>
      </w:r>
      <w:r w:rsidR="00311A71" w:rsidRPr="00380640">
        <w:rPr>
          <w:b/>
          <w:bCs/>
          <w:sz w:val="32"/>
          <w:szCs w:val="32"/>
          <w:u w:val="single"/>
          <w:lang w:val="en-GB"/>
        </w:rPr>
        <w:t>C &amp; FINANCIAL MARKET STABILITY</w:t>
      </w:r>
      <w:r w:rsidR="00311A71" w:rsidRPr="00380640">
        <w:rPr>
          <w:b/>
          <w:bCs/>
          <w:sz w:val="32"/>
          <w:szCs w:val="32"/>
          <w:lang w:val="en-GB"/>
        </w:rPr>
        <w:t>:</w:t>
      </w:r>
    </w:p>
    <w:p w:rsidR="00311A71" w:rsidRPr="00311A71" w:rsidRDefault="00311A71" w:rsidP="00311A71">
      <w:pPr>
        <w:rPr>
          <w:sz w:val="28"/>
          <w:szCs w:val="28"/>
        </w:rPr>
      </w:pPr>
      <w:r w:rsidRPr="00311A71">
        <w:rPr>
          <w:sz w:val="28"/>
          <w:szCs w:val="28"/>
        </w:rPr>
        <w:t>Non-Banking Financial Companies (NBFCs) continued to support the Indian economy by providing credit to retail customers, MSMEs, and other</w:t>
      </w:r>
      <w:r>
        <w:rPr>
          <w:sz w:val="28"/>
          <w:szCs w:val="28"/>
        </w:rPr>
        <w:t xml:space="preserve"> </w:t>
      </w:r>
      <w:r w:rsidRPr="00311A71">
        <w:rPr>
          <w:sz w:val="28"/>
          <w:szCs w:val="28"/>
        </w:rPr>
        <w:t>underserved sectors. According to th</w:t>
      </w:r>
      <w:r>
        <w:rPr>
          <w:sz w:val="28"/>
          <w:szCs w:val="28"/>
        </w:rPr>
        <w:t>e RBI FSR</w:t>
      </w:r>
      <w:r w:rsidRPr="00311A71">
        <w:rPr>
          <w:sz w:val="28"/>
          <w:szCs w:val="28"/>
        </w:rPr>
        <w:t>, the NBFC sector remained financially strong with adequate capital and stable profits.</w:t>
      </w:r>
      <w:r w:rsidR="004017A1" w:rsidRPr="004017A1">
        <w:t xml:space="preserve"> </w:t>
      </w:r>
      <w:r w:rsidR="004017A1" w:rsidRPr="004017A1">
        <w:rPr>
          <w:sz w:val="28"/>
          <w:szCs w:val="28"/>
        </w:rPr>
        <w:t>This supported credit availability to retail borrowers and MSMEs, contributing to broader economic activity.</w:t>
      </w:r>
    </w:p>
    <w:p w:rsidR="00AA7C28" w:rsidRDefault="00AA7C28" w:rsidP="00311A71">
      <w:pPr>
        <w:rPr>
          <w:sz w:val="28"/>
          <w:szCs w:val="28"/>
        </w:rPr>
      </w:pPr>
    </w:p>
    <w:p w:rsidR="00311A71" w:rsidRDefault="00311A71" w:rsidP="00311A71">
      <w:pPr>
        <w:rPr>
          <w:sz w:val="28"/>
          <w:szCs w:val="28"/>
        </w:rPr>
      </w:pPr>
      <w:r w:rsidRPr="00311A71">
        <w:rPr>
          <w:sz w:val="28"/>
          <w:szCs w:val="28"/>
        </w:rPr>
        <w:t>The report also stated that most NBFCs maintained capital levels above the required regulatory limit. In addition, RBI stress tests showed that the sector would remain resilient even under adverse economic conditions.</w:t>
      </w:r>
    </w:p>
    <w:p w:rsidR="00311A71" w:rsidRDefault="00311A71" w:rsidP="00311A71">
      <w:pPr>
        <w:rPr>
          <w:sz w:val="28"/>
          <w:szCs w:val="28"/>
        </w:rPr>
      </w:pPr>
    </w:p>
    <w:p w:rsidR="001D153A" w:rsidRDefault="008577B2" w:rsidP="00311A71">
      <w:pPr>
        <w:rPr>
          <w:b/>
          <w:bCs/>
          <w:sz w:val="28"/>
          <w:szCs w:val="28"/>
        </w:rPr>
      </w:pPr>
      <w:r>
        <w:rPr>
          <w:b/>
          <w:bCs/>
          <w:sz w:val="28"/>
          <w:szCs w:val="28"/>
        </w:rPr>
        <w:t xml:space="preserve">                                         </w:t>
      </w:r>
    </w:p>
    <w:p w:rsidR="001D153A" w:rsidRDefault="001D153A" w:rsidP="00311A71">
      <w:pPr>
        <w:rPr>
          <w:b/>
          <w:bCs/>
          <w:sz w:val="28"/>
          <w:szCs w:val="28"/>
        </w:rPr>
      </w:pPr>
    </w:p>
    <w:p w:rsidR="00311A71" w:rsidRDefault="001D153A" w:rsidP="00311A71">
      <w:pPr>
        <w:rPr>
          <w:b/>
          <w:bCs/>
          <w:sz w:val="28"/>
          <w:szCs w:val="28"/>
        </w:rPr>
      </w:pPr>
      <w:r>
        <w:rPr>
          <w:b/>
          <w:bCs/>
          <w:sz w:val="28"/>
          <w:szCs w:val="28"/>
        </w:rPr>
        <w:t xml:space="preserve">     </w:t>
      </w:r>
      <w:r w:rsidR="00380640">
        <w:rPr>
          <w:b/>
          <w:bCs/>
          <w:sz w:val="28"/>
          <w:szCs w:val="28"/>
        </w:rPr>
        <w:t xml:space="preserve">                                 </w:t>
      </w:r>
      <w:r w:rsidR="008577B2">
        <w:rPr>
          <w:b/>
          <w:bCs/>
          <w:sz w:val="28"/>
          <w:szCs w:val="28"/>
        </w:rPr>
        <w:t xml:space="preserve"> NBFC SECTOR ASSESSMENT</w:t>
      </w:r>
    </w:p>
    <w:tbl>
      <w:tblPr>
        <w:tblpPr w:leftFromText="180" w:rightFromText="180" w:vertAnchor="text" w:horzAnchor="page" w:tblpX="2437" w:tblpY="23"/>
        <w:tblW w:w="6095" w:type="dxa"/>
        <w:tblLook w:val="04A0" w:firstRow="1" w:lastRow="0" w:firstColumn="1" w:lastColumn="0" w:noHBand="0" w:noVBand="1"/>
      </w:tblPr>
      <w:tblGrid>
        <w:gridCol w:w="4255"/>
        <w:gridCol w:w="1840"/>
      </w:tblGrid>
      <w:tr w:rsidR="008577B2" w:rsidRPr="008577B2" w:rsidTr="008577B2">
        <w:trPr>
          <w:trHeight w:val="360"/>
        </w:trPr>
        <w:tc>
          <w:tcPr>
            <w:tcW w:w="4255" w:type="dxa"/>
            <w:tcBorders>
              <w:top w:val="single" w:sz="4" w:space="0" w:color="9BC2E6"/>
              <w:left w:val="single" w:sz="4" w:space="0" w:color="9BC2E6"/>
              <w:bottom w:val="single" w:sz="4" w:space="0" w:color="9BC2E6"/>
              <w:right w:val="nil"/>
            </w:tcBorders>
            <w:shd w:val="clear" w:color="000000" w:fill="2F75B5"/>
            <w:vAlign w:val="center"/>
            <w:hideMark/>
          </w:tcPr>
          <w:p w:rsidR="008577B2" w:rsidRPr="008577B2" w:rsidRDefault="008577B2" w:rsidP="008577B2">
            <w:pPr>
              <w:spacing w:after="0" w:line="240" w:lineRule="auto"/>
              <w:jc w:val="center"/>
              <w:rPr>
                <w:rFonts w:ascii="Calibri" w:eastAsia="Times New Roman" w:hAnsi="Calibri" w:cs="Calibri"/>
                <w:b/>
                <w:bCs/>
                <w:color w:val="FFFFFF"/>
                <w:sz w:val="28"/>
                <w:szCs w:val="28"/>
                <w:lang w:eastAsia="en-IN" w:bidi="hi-IN"/>
              </w:rPr>
            </w:pPr>
            <w:r w:rsidRPr="008577B2">
              <w:rPr>
                <w:rFonts w:ascii="Calibri" w:eastAsia="Times New Roman" w:hAnsi="Calibri" w:cs="Calibri"/>
                <w:b/>
                <w:bCs/>
                <w:color w:val="FFFFFF"/>
                <w:sz w:val="28"/>
                <w:szCs w:val="28"/>
                <w:lang w:eastAsia="en-IN" w:bidi="hi-IN"/>
              </w:rPr>
              <w:t>Parameter</w:t>
            </w:r>
          </w:p>
        </w:tc>
        <w:tc>
          <w:tcPr>
            <w:tcW w:w="1840" w:type="dxa"/>
            <w:tcBorders>
              <w:top w:val="single" w:sz="4" w:space="0" w:color="9BC2E6"/>
              <w:left w:val="nil"/>
              <w:bottom w:val="single" w:sz="4" w:space="0" w:color="9BC2E6"/>
              <w:right w:val="single" w:sz="4" w:space="0" w:color="9BC2E6"/>
            </w:tcBorders>
            <w:shd w:val="clear" w:color="000000" w:fill="2F75B5"/>
            <w:vAlign w:val="center"/>
            <w:hideMark/>
          </w:tcPr>
          <w:p w:rsidR="008577B2" w:rsidRPr="008577B2" w:rsidRDefault="008577B2" w:rsidP="008577B2">
            <w:pPr>
              <w:spacing w:after="0" w:line="240" w:lineRule="auto"/>
              <w:jc w:val="center"/>
              <w:rPr>
                <w:rFonts w:ascii="Calibri" w:eastAsia="Times New Roman" w:hAnsi="Calibri" w:cs="Calibri"/>
                <w:b/>
                <w:bCs/>
                <w:color w:val="FFFFFF"/>
                <w:sz w:val="28"/>
                <w:szCs w:val="28"/>
                <w:lang w:eastAsia="en-IN" w:bidi="hi-IN"/>
              </w:rPr>
            </w:pPr>
            <w:r w:rsidRPr="008577B2">
              <w:rPr>
                <w:rFonts w:ascii="Calibri" w:eastAsia="Times New Roman" w:hAnsi="Calibri" w:cs="Calibri"/>
                <w:b/>
                <w:bCs/>
                <w:color w:val="FFFFFF"/>
                <w:sz w:val="28"/>
                <w:szCs w:val="28"/>
                <w:lang w:eastAsia="en-IN" w:bidi="hi-IN"/>
              </w:rPr>
              <w:t>Assessment</w:t>
            </w:r>
          </w:p>
        </w:tc>
      </w:tr>
      <w:tr w:rsidR="008577B2" w:rsidRPr="008577B2" w:rsidTr="008577B2">
        <w:trPr>
          <w:trHeight w:val="576"/>
        </w:trPr>
        <w:tc>
          <w:tcPr>
            <w:tcW w:w="4255" w:type="dxa"/>
            <w:tcBorders>
              <w:top w:val="single" w:sz="4" w:space="0" w:color="9BC2E6"/>
              <w:left w:val="single" w:sz="4" w:space="0" w:color="9BC2E6"/>
              <w:bottom w:val="single" w:sz="4" w:space="0" w:color="9BC2E6"/>
              <w:right w:val="nil"/>
            </w:tcBorders>
            <w:shd w:val="clear" w:color="000000" w:fill="FCE4D6"/>
            <w:vAlign w:val="center"/>
            <w:hideMark/>
          </w:tcPr>
          <w:p w:rsidR="008577B2" w:rsidRPr="008577B2" w:rsidRDefault="008577B2" w:rsidP="008577B2">
            <w:pPr>
              <w:spacing w:after="0" w:line="240" w:lineRule="auto"/>
              <w:rPr>
                <w:rFonts w:ascii="Calibri" w:eastAsia="Times New Roman" w:hAnsi="Calibri" w:cs="Calibri"/>
                <w:color w:val="000000"/>
                <w:lang w:eastAsia="en-IN" w:bidi="hi-IN"/>
              </w:rPr>
            </w:pPr>
            <w:r w:rsidRPr="008577B2">
              <w:rPr>
                <w:rFonts w:ascii="Calibri" w:eastAsia="Times New Roman" w:hAnsi="Calibri" w:cs="Calibri"/>
                <w:color w:val="000000"/>
                <w:lang w:eastAsia="en-IN" w:bidi="hi-IN"/>
              </w:rPr>
              <w:t>Capital Position</w:t>
            </w:r>
          </w:p>
        </w:tc>
        <w:tc>
          <w:tcPr>
            <w:tcW w:w="1840" w:type="dxa"/>
            <w:tcBorders>
              <w:top w:val="single" w:sz="4" w:space="0" w:color="9BC2E6"/>
              <w:left w:val="nil"/>
              <w:bottom w:val="single" w:sz="4" w:space="0" w:color="9BC2E6"/>
              <w:right w:val="single" w:sz="4" w:space="0" w:color="9BC2E6"/>
            </w:tcBorders>
            <w:shd w:val="clear" w:color="000000" w:fill="FCE4D6"/>
            <w:vAlign w:val="center"/>
            <w:hideMark/>
          </w:tcPr>
          <w:p w:rsidR="008577B2" w:rsidRPr="008577B2" w:rsidRDefault="008577B2" w:rsidP="008577B2">
            <w:pPr>
              <w:spacing w:after="0" w:line="240" w:lineRule="auto"/>
              <w:rPr>
                <w:rFonts w:ascii="Calibri" w:eastAsia="Times New Roman" w:hAnsi="Calibri" w:cs="Calibri"/>
                <w:color w:val="000000"/>
                <w:lang w:eastAsia="en-IN" w:bidi="hi-IN"/>
              </w:rPr>
            </w:pPr>
            <w:r w:rsidRPr="008577B2">
              <w:rPr>
                <w:rFonts w:ascii="Calibri" w:eastAsia="Times New Roman" w:hAnsi="Calibri" w:cs="Calibri"/>
                <w:color w:val="000000"/>
                <w:lang w:eastAsia="en-IN" w:bidi="hi-IN"/>
              </w:rPr>
              <w:t>Strong</w:t>
            </w:r>
          </w:p>
        </w:tc>
      </w:tr>
      <w:tr w:rsidR="008577B2" w:rsidRPr="008577B2" w:rsidTr="008577B2">
        <w:trPr>
          <w:trHeight w:val="288"/>
        </w:trPr>
        <w:tc>
          <w:tcPr>
            <w:tcW w:w="4255" w:type="dxa"/>
            <w:tcBorders>
              <w:top w:val="single" w:sz="4" w:space="0" w:color="9BC2E6"/>
              <w:left w:val="single" w:sz="4" w:space="0" w:color="9BC2E6"/>
              <w:bottom w:val="single" w:sz="4" w:space="0" w:color="9BC2E6"/>
              <w:right w:val="nil"/>
            </w:tcBorders>
            <w:shd w:val="clear" w:color="000000" w:fill="F8CBAD"/>
            <w:vAlign w:val="center"/>
            <w:hideMark/>
          </w:tcPr>
          <w:p w:rsidR="008577B2" w:rsidRPr="008577B2" w:rsidRDefault="008577B2" w:rsidP="008577B2">
            <w:pPr>
              <w:spacing w:after="0" w:line="240" w:lineRule="auto"/>
              <w:rPr>
                <w:rFonts w:ascii="Calibri" w:eastAsia="Times New Roman" w:hAnsi="Calibri" w:cs="Calibri"/>
                <w:color w:val="000000"/>
                <w:lang w:eastAsia="en-IN" w:bidi="hi-IN"/>
              </w:rPr>
            </w:pPr>
            <w:r w:rsidRPr="008577B2">
              <w:rPr>
                <w:rFonts w:ascii="Calibri" w:eastAsia="Times New Roman" w:hAnsi="Calibri" w:cs="Calibri"/>
                <w:color w:val="000000"/>
                <w:lang w:eastAsia="en-IN" w:bidi="hi-IN"/>
              </w:rPr>
              <w:t>Asset Quality</w:t>
            </w:r>
          </w:p>
        </w:tc>
        <w:tc>
          <w:tcPr>
            <w:tcW w:w="1840" w:type="dxa"/>
            <w:tcBorders>
              <w:top w:val="single" w:sz="4" w:space="0" w:color="9BC2E6"/>
              <w:left w:val="nil"/>
              <w:bottom w:val="single" w:sz="4" w:space="0" w:color="9BC2E6"/>
              <w:right w:val="single" w:sz="4" w:space="0" w:color="9BC2E6"/>
            </w:tcBorders>
            <w:shd w:val="clear" w:color="000000" w:fill="F8CBAD"/>
            <w:vAlign w:val="center"/>
            <w:hideMark/>
          </w:tcPr>
          <w:p w:rsidR="008577B2" w:rsidRPr="008577B2" w:rsidRDefault="008577B2" w:rsidP="008577B2">
            <w:pPr>
              <w:spacing w:after="0" w:line="240" w:lineRule="auto"/>
              <w:rPr>
                <w:rFonts w:ascii="Calibri" w:eastAsia="Times New Roman" w:hAnsi="Calibri" w:cs="Calibri"/>
                <w:color w:val="000000"/>
                <w:lang w:eastAsia="en-IN" w:bidi="hi-IN"/>
              </w:rPr>
            </w:pPr>
            <w:r w:rsidRPr="008577B2">
              <w:rPr>
                <w:rFonts w:ascii="Calibri" w:eastAsia="Times New Roman" w:hAnsi="Calibri" w:cs="Calibri"/>
                <w:color w:val="000000"/>
                <w:lang w:eastAsia="en-IN" w:bidi="hi-IN"/>
              </w:rPr>
              <w:t>Improving</w:t>
            </w:r>
          </w:p>
        </w:tc>
      </w:tr>
      <w:tr w:rsidR="008577B2" w:rsidRPr="008577B2" w:rsidTr="008577B2">
        <w:trPr>
          <w:trHeight w:val="576"/>
        </w:trPr>
        <w:tc>
          <w:tcPr>
            <w:tcW w:w="4255" w:type="dxa"/>
            <w:tcBorders>
              <w:top w:val="single" w:sz="4" w:space="0" w:color="9BC2E6"/>
              <w:left w:val="single" w:sz="4" w:space="0" w:color="9BC2E6"/>
              <w:bottom w:val="single" w:sz="4" w:space="0" w:color="9BC2E6"/>
              <w:right w:val="nil"/>
            </w:tcBorders>
            <w:shd w:val="clear" w:color="000000" w:fill="FCE4D6"/>
            <w:vAlign w:val="center"/>
            <w:hideMark/>
          </w:tcPr>
          <w:p w:rsidR="008577B2" w:rsidRPr="008577B2" w:rsidRDefault="008577B2" w:rsidP="008577B2">
            <w:pPr>
              <w:spacing w:after="0" w:line="240" w:lineRule="auto"/>
              <w:rPr>
                <w:rFonts w:ascii="Calibri" w:eastAsia="Times New Roman" w:hAnsi="Calibri" w:cs="Calibri"/>
                <w:color w:val="000000"/>
                <w:lang w:eastAsia="en-IN" w:bidi="hi-IN"/>
              </w:rPr>
            </w:pPr>
            <w:r w:rsidRPr="008577B2">
              <w:rPr>
                <w:rFonts w:ascii="Calibri" w:eastAsia="Times New Roman" w:hAnsi="Calibri" w:cs="Calibri"/>
                <w:color w:val="000000"/>
                <w:lang w:eastAsia="en-IN" w:bidi="hi-IN"/>
              </w:rPr>
              <w:t>Credit Growth</w:t>
            </w:r>
          </w:p>
        </w:tc>
        <w:tc>
          <w:tcPr>
            <w:tcW w:w="1840" w:type="dxa"/>
            <w:tcBorders>
              <w:top w:val="single" w:sz="4" w:space="0" w:color="9BC2E6"/>
              <w:left w:val="nil"/>
              <w:bottom w:val="single" w:sz="4" w:space="0" w:color="9BC2E6"/>
              <w:right w:val="single" w:sz="4" w:space="0" w:color="9BC2E6"/>
            </w:tcBorders>
            <w:shd w:val="clear" w:color="000000" w:fill="FCE4D6"/>
            <w:vAlign w:val="center"/>
            <w:hideMark/>
          </w:tcPr>
          <w:p w:rsidR="008577B2" w:rsidRPr="008577B2" w:rsidRDefault="008577B2" w:rsidP="008577B2">
            <w:pPr>
              <w:spacing w:after="0" w:line="240" w:lineRule="auto"/>
              <w:rPr>
                <w:rFonts w:ascii="Calibri" w:eastAsia="Times New Roman" w:hAnsi="Calibri" w:cs="Calibri"/>
                <w:color w:val="000000"/>
                <w:lang w:eastAsia="en-IN" w:bidi="hi-IN"/>
              </w:rPr>
            </w:pPr>
            <w:r w:rsidRPr="008577B2">
              <w:rPr>
                <w:rFonts w:ascii="Calibri" w:eastAsia="Times New Roman" w:hAnsi="Calibri" w:cs="Calibri"/>
                <w:color w:val="000000"/>
                <w:lang w:eastAsia="en-IN" w:bidi="hi-IN"/>
              </w:rPr>
              <w:t>Stable</w:t>
            </w:r>
          </w:p>
        </w:tc>
      </w:tr>
      <w:tr w:rsidR="008577B2" w:rsidRPr="008577B2" w:rsidTr="008577B2">
        <w:trPr>
          <w:trHeight w:val="288"/>
        </w:trPr>
        <w:tc>
          <w:tcPr>
            <w:tcW w:w="4255" w:type="dxa"/>
            <w:tcBorders>
              <w:top w:val="single" w:sz="4" w:space="0" w:color="9BC2E6"/>
              <w:left w:val="single" w:sz="4" w:space="0" w:color="9BC2E6"/>
              <w:bottom w:val="single" w:sz="4" w:space="0" w:color="9BC2E6"/>
              <w:right w:val="nil"/>
            </w:tcBorders>
            <w:shd w:val="clear" w:color="000000" w:fill="F8CBAD"/>
            <w:vAlign w:val="center"/>
            <w:hideMark/>
          </w:tcPr>
          <w:p w:rsidR="008577B2" w:rsidRPr="008577B2" w:rsidRDefault="008577B2" w:rsidP="008577B2">
            <w:pPr>
              <w:spacing w:after="0" w:line="240" w:lineRule="auto"/>
              <w:rPr>
                <w:rFonts w:ascii="Calibri" w:eastAsia="Times New Roman" w:hAnsi="Calibri" w:cs="Calibri"/>
                <w:color w:val="000000"/>
                <w:lang w:eastAsia="en-IN" w:bidi="hi-IN"/>
              </w:rPr>
            </w:pPr>
            <w:r w:rsidRPr="008577B2">
              <w:rPr>
                <w:rFonts w:ascii="Calibri" w:eastAsia="Times New Roman" w:hAnsi="Calibri" w:cs="Calibri"/>
                <w:color w:val="000000"/>
                <w:lang w:eastAsia="en-IN" w:bidi="hi-IN"/>
              </w:rPr>
              <w:t>Liquidity Position</w:t>
            </w:r>
          </w:p>
        </w:tc>
        <w:tc>
          <w:tcPr>
            <w:tcW w:w="1840" w:type="dxa"/>
            <w:tcBorders>
              <w:top w:val="single" w:sz="4" w:space="0" w:color="9BC2E6"/>
              <w:left w:val="nil"/>
              <w:bottom w:val="single" w:sz="4" w:space="0" w:color="9BC2E6"/>
              <w:right w:val="single" w:sz="4" w:space="0" w:color="9BC2E6"/>
            </w:tcBorders>
            <w:shd w:val="clear" w:color="000000" w:fill="F8CBAD"/>
            <w:vAlign w:val="center"/>
            <w:hideMark/>
          </w:tcPr>
          <w:p w:rsidR="008577B2" w:rsidRPr="008577B2" w:rsidRDefault="008577B2" w:rsidP="008577B2">
            <w:pPr>
              <w:spacing w:after="0" w:line="240" w:lineRule="auto"/>
              <w:rPr>
                <w:rFonts w:ascii="Calibri" w:eastAsia="Times New Roman" w:hAnsi="Calibri" w:cs="Calibri"/>
                <w:color w:val="000000"/>
                <w:lang w:eastAsia="en-IN" w:bidi="hi-IN"/>
              </w:rPr>
            </w:pPr>
            <w:r w:rsidRPr="008577B2">
              <w:rPr>
                <w:rFonts w:ascii="Calibri" w:eastAsia="Times New Roman" w:hAnsi="Calibri" w:cs="Calibri"/>
                <w:color w:val="000000"/>
                <w:lang w:eastAsia="en-IN" w:bidi="hi-IN"/>
              </w:rPr>
              <w:t>Adequate</w:t>
            </w:r>
          </w:p>
        </w:tc>
      </w:tr>
      <w:tr w:rsidR="008577B2" w:rsidRPr="008577B2" w:rsidTr="008577B2">
        <w:trPr>
          <w:trHeight w:val="695"/>
        </w:trPr>
        <w:tc>
          <w:tcPr>
            <w:tcW w:w="4255" w:type="dxa"/>
            <w:tcBorders>
              <w:top w:val="single" w:sz="4" w:space="0" w:color="9BC2E6"/>
              <w:left w:val="single" w:sz="4" w:space="0" w:color="9BC2E6"/>
              <w:bottom w:val="single" w:sz="4" w:space="0" w:color="9BC2E6"/>
              <w:right w:val="nil"/>
            </w:tcBorders>
            <w:shd w:val="clear" w:color="000000" w:fill="FCE4D6"/>
            <w:vAlign w:val="center"/>
            <w:hideMark/>
          </w:tcPr>
          <w:p w:rsidR="008577B2" w:rsidRPr="008577B2" w:rsidRDefault="008577B2" w:rsidP="008577B2">
            <w:pPr>
              <w:spacing w:after="0" w:line="240" w:lineRule="auto"/>
              <w:rPr>
                <w:rFonts w:ascii="Calibri" w:eastAsia="Times New Roman" w:hAnsi="Calibri" w:cs="Calibri"/>
                <w:color w:val="000000"/>
                <w:lang w:eastAsia="en-IN" w:bidi="hi-IN"/>
              </w:rPr>
            </w:pPr>
            <w:r w:rsidRPr="008577B2">
              <w:rPr>
                <w:rFonts w:ascii="Calibri" w:eastAsia="Times New Roman" w:hAnsi="Calibri" w:cs="Calibri"/>
                <w:color w:val="000000"/>
                <w:lang w:eastAsia="en-IN" w:bidi="hi-IN"/>
              </w:rPr>
              <w:t>Profitability</w:t>
            </w:r>
          </w:p>
        </w:tc>
        <w:tc>
          <w:tcPr>
            <w:tcW w:w="1840" w:type="dxa"/>
            <w:tcBorders>
              <w:top w:val="single" w:sz="4" w:space="0" w:color="9BC2E6"/>
              <w:left w:val="nil"/>
              <w:bottom w:val="single" w:sz="4" w:space="0" w:color="9BC2E6"/>
              <w:right w:val="single" w:sz="4" w:space="0" w:color="9BC2E6"/>
            </w:tcBorders>
            <w:shd w:val="clear" w:color="000000" w:fill="FCE4D6"/>
            <w:vAlign w:val="center"/>
            <w:hideMark/>
          </w:tcPr>
          <w:p w:rsidR="008577B2" w:rsidRPr="008577B2" w:rsidRDefault="008577B2" w:rsidP="008577B2">
            <w:pPr>
              <w:spacing w:after="0" w:line="240" w:lineRule="auto"/>
              <w:rPr>
                <w:rFonts w:ascii="Calibri" w:eastAsia="Times New Roman" w:hAnsi="Calibri" w:cs="Calibri"/>
                <w:color w:val="000000"/>
                <w:lang w:eastAsia="en-IN" w:bidi="hi-IN"/>
              </w:rPr>
            </w:pPr>
            <w:r w:rsidRPr="008577B2">
              <w:rPr>
                <w:rFonts w:ascii="Calibri" w:eastAsia="Times New Roman" w:hAnsi="Calibri" w:cs="Calibri"/>
                <w:color w:val="000000"/>
                <w:lang w:eastAsia="en-IN" w:bidi="hi-IN"/>
              </w:rPr>
              <w:t>Stable</w:t>
            </w:r>
          </w:p>
        </w:tc>
      </w:tr>
    </w:tbl>
    <w:p w:rsidR="008577B2" w:rsidRDefault="008577B2" w:rsidP="00311A71">
      <w:pPr>
        <w:rPr>
          <w:b/>
          <w:bCs/>
          <w:sz w:val="28"/>
          <w:szCs w:val="28"/>
        </w:rPr>
      </w:pPr>
    </w:p>
    <w:p w:rsidR="008577B2" w:rsidRPr="00311A71" w:rsidRDefault="008577B2" w:rsidP="00311A71">
      <w:pPr>
        <w:rPr>
          <w:b/>
          <w:bCs/>
          <w:sz w:val="28"/>
          <w:szCs w:val="28"/>
        </w:rPr>
      </w:pPr>
    </w:p>
    <w:p w:rsidR="00311A71" w:rsidRDefault="00311A71" w:rsidP="00311A71">
      <w:pPr>
        <w:rPr>
          <w:sz w:val="28"/>
          <w:szCs w:val="28"/>
        </w:rPr>
      </w:pPr>
    </w:p>
    <w:p w:rsidR="008577B2" w:rsidRDefault="008577B2" w:rsidP="00311A71">
      <w:pPr>
        <w:rPr>
          <w:sz w:val="28"/>
          <w:szCs w:val="28"/>
        </w:rPr>
      </w:pPr>
    </w:p>
    <w:p w:rsidR="008577B2" w:rsidRDefault="008577B2" w:rsidP="00311A71">
      <w:pPr>
        <w:rPr>
          <w:sz w:val="28"/>
          <w:szCs w:val="28"/>
        </w:rPr>
      </w:pPr>
    </w:p>
    <w:p w:rsidR="008577B2" w:rsidRDefault="008577B2" w:rsidP="00311A71">
      <w:pPr>
        <w:rPr>
          <w:sz w:val="28"/>
          <w:szCs w:val="28"/>
        </w:rPr>
      </w:pPr>
    </w:p>
    <w:p w:rsidR="008577B2" w:rsidRDefault="008577B2" w:rsidP="00311A71">
      <w:r>
        <w:rPr>
          <w:rStyle w:val="Strong"/>
        </w:rPr>
        <w:t xml:space="preserve">                             *Source:</w:t>
      </w:r>
      <w:r>
        <w:t xml:space="preserve"> </w:t>
      </w:r>
      <w:r w:rsidRPr="00044C03">
        <w:rPr>
          <w:b/>
          <w:bCs/>
        </w:rPr>
        <w:t>RBI Financial Stability Report, December 2025</w:t>
      </w:r>
      <w:r>
        <w:t xml:space="preserve">  </w:t>
      </w:r>
    </w:p>
    <w:p w:rsidR="008577B2" w:rsidRDefault="008577B2" w:rsidP="00311A71"/>
    <w:p w:rsidR="00A60D82" w:rsidRPr="004406C3" w:rsidRDefault="00A60D82" w:rsidP="004406C3">
      <w:pPr>
        <w:rPr>
          <w:b/>
          <w:bCs/>
          <w:sz w:val="28"/>
          <w:szCs w:val="28"/>
        </w:rPr>
      </w:pPr>
      <w:r w:rsidRPr="00A60D82">
        <w:rPr>
          <w:b/>
          <w:bCs/>
          <w:sz w:val="28"/>
          <w:szCs w:val="28"/>
        </w:rPr>
        <w:t>INSIGHT:</w:t>
      </w:r>
      <w:r>
        <w:rPr>
          <w:b/>
          <w:bCs/>
          <w:sz w:val="28"/>
          <w:szCs w:val="28"/>
        </w:rPr>
        <w:t xml:space="preserve"> </w:t>
      </w:r>
      <w:r w:rsidR="004406C3">
        <w:rPr>
          <w:b/>
          <w:bCs/>
          <w:sz w:val="28"/>
          <w:szCs w:val="28"/>
        </w:rPr>
        <w:t xml:space="preserve">1. </w:t>
      </w:r>
      <w:r w:rsidRPr="004406C3">
        <w:rPr>
          <w:sz w:val="28"/>
          <w:szCs w:val="28"/>
        </w:rPr>
        <w:t xml:space="preserve">Non-Banking Financial Companies (NBFCs) remain important for the financial system because they help in providing loans to households and Micro, Small and Medium Enterprises (MSMEs). </w:t>
      </w:r>
    </w:p>
    <w:p w:rsidR="00A60D82" w:rsidRPr="00A60D82" w:rsidRDefault="00A60D82" w:rsidP="004406C3">
      <w:pPr>
        <w:rPr>
          <w:sz w:val="28"/>
          <w:szCs w:val="28"/>
        </w:rPr>
      </w:pPr>
      <w:r w:rsidRPr="00A60D82">
        <w:rPr>
          <w:b/>
          <w:bCs/>
          <w:sz w:val="28"/>
          <w:szCs w:val="28"/>
        </w:rPr>
        <w:lastRenderedPageBreak/>
        <w:t>2</w:t>
      </w:r>
      <w:r w:rsidRPr="00A60D82">
        <w:rPr>
          <w:sz w:val="28"/>
          <w:szCs w:val="28"/>
        </w:rPr>
        <w:t xml:space="preserve">.They are also closely connected with banks, which increases their </w:t>
      </w:r>
      <w:r>
        <w:rPr>
          <w:sz w:val="28"/>
          <w:szCs w:val="28"/>
        </w:rPr>
        <w:t xml:space="preserve">    </w:t>
      </w:r>
      <w:r w:rsidRPr="00A60D82">
        <w:rPr>
          <w:sz w:val="28"/>
          <w:szCs w:val="28"/>
        </w:rPr>
        <w:t>importance in the economy. Strong capital reserves and better asset quality show that the sector remains financially stable.</w:t>
      </w:r>
    </w:p>
    <w:p w:rsidR="00A60D82" w:rsidRPr="00A60D82" w:rsidRDefault="00A60D82" w:rsidP="00A60D82">
      <w:pPr>
        <w:rPr>
          <w:sz w:val="28"/>
          <w:szCs w:val="28"/>
        </w:rPr>
      </w:pPr>
      <w:r w:rsidRPr="00A60D82">
        <w:rPr>
          <w:sz w:val="28"/>
          <w:szCs w:val="28"/>
        </w:rPr>
        <w:t>However, increasing loans in unsecured retail lending and dependence on market borrowings may create risks during periods of financial stress. Any weakness in the NBFC sector can also affect the overall financial system because of its close linkages with banks and other financial institutions.</w:t>
      </w:r>
    </w:p>
    <w:p w:rsidR="008577B2" w:rsidRDefault="008577B2" w:rsidP="00311A71">
      <w:pPr>
        <w:rPr>
          <w:sz w:val="28"/>
          <w:szCs w:val="28"/>
        </w:rPr>
      </w:pPr>
    </w:p>
    <w:p w:rsidR="00A60D82" w:rsidRPr="004406C3" w:rsidRDefault="00A752B5" w:rsidP="00A60D82">
      <w:pPr>
        <w:rPr>
          <w:b/>
          <w:bCs/>
          <w:sz w:val="32"/>
          <w:szCs w:val="32"/>
          <w:lang w:val="en-GB"/>
        </w:rPr>
      </w:pPr>
      <w:r w:rsidRPr="004406C3">
        <w:rPr>
          <w:b/>
          <w:bCs/>
          <w:sz w:val="32"/>
          <w:szCs w:val="32"/>
          <w:lang w:val="en-GB"/>
        </w:rPr>
        <w:t>3.3</w:t>
      </w:r>
      <w:r w:rsidR="00A60D82" w:rsidRPr="004406C3">
        <w:rPr>
          <w:b/>
          <w:bCs/>
          <w:sz w:val="32"/>
          <w:szCs w:val="32"/>
          <w:lang w:val="en-GB"/>
        </w:rPr>
        <w:t xml:space="preserve"> </w:t>
      </w:r>
      <w:r w:rsidR="00A60D82" w:rsidRPr="004406C3">
        <w:rPr>
          <w:b/>
          <w:bCs/>
          <w:sz w:val="32"/>
          <w:szCs w:val="32"/>
          <w:u w:val="single"/>
          <w:lang w:val="en-GB"/>
        </w:rPr>
        <w:t>STRESS TESTING &amp; RISK ASSESSMENT</w:t>
      </w:r>
      <w:r w:rsidR="00A60D82" w:rsidRPr="004406C3">
        <w:rPr>
          <w:b/>
          <w:bCs/>
          <w:sz w:val="32"/>
          <w:szCs w:val="32"/>
          <w:lang w:val="en-GB"/>
        </w:rPr>
        <w:t>:</w:t>
      </w:r>
    </w:p>
    <w:p w:rsidR="00A60D82" w:rsidRPr="00C868E6" w:rsidRDefault="00A60D82" w:rsidP="00A60D82">
      <w:pPr>
        <w:rPr>
          <w:sz w:val="28"/>
          <w:szCs w:val="28"/>
        </w:rPr>
      </w:pPr>
      <w:r w:rsidRPr="00C868E6">
        <w:rPr>
          <w:sz w:val="28"/>
          <w:szCs w:val="28"/>
        </w:rPr>
        <w:t xml:space="preserve">Stress testing is an important tool used by the </w:t>
      </w:r>
      <w:r w:rsidR="00C868E6">
        <w:rPr>
          <w:sz w:val="28"/>
          <w:szCs w:val="28"/>
        </w:rPr>
        <w:t>RBI</w:t>
      </w:r>
      <w:r w:rsidRPr="00C868E6">
        <w:rPr>
          <w:sz w:val="28"/>
          <w:szCs w:val="28"/>
        </w:rPr>
        <w:t xml:space="preserve"> to check whether the financial system can remain stable during difficult economic conditions.</w:t>
      </w:r>
    </w:p>
    <w:p w:rsidR="00A60D82" w:rsidRPr="00C868E6" w:rsidRDefault="00A60D82" w:rsidP="00A60D82">
      <w:pPr>
        <w:rPr>
          <w:sz w:val="28"/>
          <w:szCs w:val="28"/>
        </w:rPr>
      </w:pPr>
      <w:r w:rsidRPr="00C868E6">
        <w:rPr>
          <w:sz w:val="28"/>
          <w:szCs w:val="28"/>
        </w:rPr>
        <w:t xml:space="preserve">The RBI conducted stress tests under different risk scenarios such as </w:t>
      </w:r>
      <w:r w:rsidRPr="00C868E6">
        <w:rPr>
          <w:b/>
          <w:bCs/>
          <w:sz w:val="28"/>
          <w:szCs w:val="28"/>
        </w:rPr>
        <w:t>geopolitical tensions</w:t>
      </w:r>
      <w:r w:rsidRPr="00C868E6">
        <w:rPr>
          <w:sz w:val="28"/>
          <w:szCs w:val="28"/>
        </w:rPr>
        <w:t xml:space="preserve">, </w:t>
      </w:r>
      <w:r w:rsidRPr="00C868E6">
        <w:rPr>
          <w:b/>
          <w:bCs/>
          <w:sz w:val="28"/>
          <w:szCs w:val="28"/>
        </w:rPr>
        <w:t>trade disruptions</w:t>
      </w:r>
      <w:r w:rsidRPr="00C868E6">
        <w:rPr>
          <w:sz w:val="28"/>
          <w:szCs w:val="28"/>
        </w:rPr>
        <w:t xml:space="preserve">, </w:t>
      </w:r>
      <w:r w:rsidRPr="00C868E6">
        <w:rPr>
          <w:b/>
          <w:bCs/>
          <w:sz w:val="28"/>
          <w:szCs w:val="28"/>
        </w:rPr>
        <w:t>rising inflation</w:t>
      </w:r>
      <w:r w:rsidRPr="00C868E6">
        <w:rPr>
          <w:sz w:val="28"/>
          <w:szCs w:val="28"/>
        </w:rPr>
        <w:t xml:space="preserve">, </w:t>
      </w:r>
      <w:r w:rsidRPr="00C868E6">
        <w:rPr>
          <w:b/>
          <w:bCs/>
          <w:sz w:val="28"/>
          <w:szCs w:val="28"/>
        </w:rPr>
        <w:t>financial market</w:t>
      </w:r>
      <w:r w:rsidRPr="00C868E6">
        <w:rPr>
          <w:sz w:val="28"/>
          <w:szCs w:val="28"/>
        </w:rPr>
        <w:t xml:space="preserve"> </w:t>
      </w:r>
      <w:r w:rsidRPr="00C868E6">
        <w:rPr>
          <w:b/>
          <w:bCs/>
          <w:sz w:val="28"/>
          <w:szCs w:val="28"/>
        </w:rPr>
        <w:t>volatility</w:t>
      </w:r>
      <w:r w:rsidRPr="00C868E6">
        <w:rPr>
          <w:sz w:val="28"/>
          <w:szCs w:val="28"/>
        </w:rPr>
        <w:t xml:space="preserve">, and </w:t>
      </w:r>
      <w:r w:rsidRPr="00C868E6">
        <w:rPr>
          <w:b/>
          <w:bCs/>
          <w:sz w:val="28"/>
          <w:szCs w:val="28"/>
        </w:rPr>
        <w:t>global economic slowdown</w:t>
      </w:r>
      <w:r w:rsidRPr="00C868E6">
        <w:rPr>
          <w:sz w:val="28"/>
          <w:szCs w:val="28"/>
        </w:rPr>
        <w:t>.</w:t>
      </w:r>
    </w:p>
    <w:p w:rsidR="00A60D82" w:rsidRPr="00C868E6" w:rsidRDefault="00A60D82" w:rsidP="00A60D82">
      <w:pPr>
        <w:rPr>
          <w:sz w:val="28"/>
          <w:szCs w:val="28"/>
        </w:rPr>
      </w:pPr>
      <w:r w:rsidRPr="00C868E6">
        <w:rPr>
          <w:sz w:val="28"/>
          <w:szCs w:val="28"/>
        </w:rPr>
        <w:t>The results showed that scheduled commercial banks (SCBs) would still maintain capital levels above the minimum regulatory requirements even during severe stress situations.</w:t>
      </w:r>
    </w:p>
    <w:p w:rsidR="00C868E6" w:rsidRDefault="00C868E6" w:rsidP="00A60D82">
      <w:pPr>
        <w:rPr>
          <w:b/>
          <w:bCs/>
          <w:sz w:val="32"/>
          <w:szCs w:val="32"/>
        </w:rPr>
      </w:pPr>
    </w:p>
    <w:p w:rsidR="00A60D82" w:rsidRPr="00A60D82" w:rsidRDefault="00C868E6" w:rsidP="00A60D82">
      <w:pPr>
        <w:rPr>
          <w:b/>
          <w:bCs/>
          <w:sz w:val="32"/>
          <w:szCs w:val="32"/>
        </w:rPr>
      </w:pPr>
      <w:r>
        <w:rPr>
          <w:b/>
          <w:bCs/>
          <w:sz w:val="32"/>
          <w:szCs w:val="32"/>
        </w:rPr>
        <w:t xml:space="preserve">INSIGHTS: </w:t>
      </w:r>
    </w:p>
    <w:p w:rsidR="00C868E6" w:rsidRDefault="00C868E6" w:rsidP="00A60D82">
      <w:pPr>
        <w:rPr>
          <w:sz w:val="28"/>
          <w:szCs w:val="28"/>
        </w:rPr>
      </w:pPr>
      <w:r w:rsidRPr="00C868E6">
        <w:rPr>
          <w:b/>
          <w:bCs/>
          <w:sz w:val="28"/>
          <w:szCs w:val="28"/>
        </w:rPr>
        <w:t>1.</w:t>
      </w:r>
      <w:r>
        <w:rPr>
          <w:b/>
          <w:bCs/>
          <w:sz w:val="28"/>
          <w:szCs w:val="28"/>
        </w:rPr>
        <w:t xml:space="preserve"> </w:t>
      </w:r>
      <w:r w:rsidR="00A60D82" w:rsidRPr="00C868E6">
        <w:rPr>
          <w:sz w:val="28"/>
          <w:szCs w:val="28"/>
        </w:rPr>
        <w:t xml:space="preserve">The stress test results show that the Indian banking system has the ability to handle economic shocks and uncertainties. </w:t>
      </w:r>
    </w:p>
    <w:p w:rsidR="00A60D82" w:rsidRPr="00C868E6" w:rsidRDefault="00C868E6" w:rsidP="00A60D82">
      <w:pPr>
        <w:rPr>
          <w:sz w:val="28"/>
          <w:szCs w:val="28"/>
        </w:rPr>
      </w:pPr>
      <w:r w:rsidRPr="00C868E6">
        <w:rPr>
          <w:b/>
          <w:bCs/>
          <w:sz w:val="28"/>
          <w:szCs w:val="28"/>
        </w:rPr>
        <w:t>2.</w:t>
      </w:r>
      <w:r>
        <w:rPr>
          <w:b/>
          <w:bCs/>
          <w:sz w:val="28"/>
          <w:szCs w:val="28"/>
        </w:rPr>
        <w:t xml:space="preserve"> </w:t>
      </w:r>
      <w:r w:rsidR="00A60D82" w:rsidRPr="00C868E6">
        <w:rPr>
          <w:sz w:val="28"/>
          <w:szCs w:val="28"/>
        </w:rPr>
        <w:t>Strong capital reserves, better provisioning, and effective regulatory supervision have helped improve the stability of the financial system.</w:t>
      </w:r>
    </w:p>
    <w:p w:rsidR="00A60D82" w:rsidRDefault="00C868E6" w:rsidP="00A60D82">
      <w:pPr>
        <w:rPr>
          <w:sz w:val="28"/>
          <w:szCs w:val="28"/>
        </w:rPr>
      </w:pPr>
      <w:r w:rsidRPr="00C868E6">
        <w:rPr>
          <w:b/>
          <w:bCs/>
          <w:sz w:val="28"/>
          <w:szCs w:val="28"/>
        </w:rPr>
        <w:t>3.</w:t>
      </w:r>
      <w:r>
        <w:rPr>
          <w:b/>
          <w:bCs/>
          <w:sz w:val="28"/>
          <w:szCs w:val="28"/>
        </w:rPr>
        <w:t xml:space="preserve"> </w:t>
      </w:r>
      <w:r w:rsidR="00A60D82" w:rsidRPr="00C868E6">
        <w:rPr>
          <w:sz w:val="28"/>
          <w:szCs w:val="28"/>
        </w:rPr>
        <w:t>The findings also suggest that Indian banks and financial institutions are in a relatively strong position to manage global financial risks and market disruptions.</w:t>
      </w:r>
    </w:p>
    <w:p w:rsidR="00C868E6" w:rsidRPr="00C868E6" w:rsidRDefault="004406C3" w:rsidP="00A60D82">
      <w:pPr>
        <w:rPr>
          <w:b/>
          <w:bCs/>
          <w:sz w:val="28"/>
          <w:szCs w:val="28"/>
        </w:rPr>
      </w:pPr>
      <w:r>
        <w:rPr>
          <w:b/>
          <w:bCs/>
          <w:sz w:val="28"/>
          <w:szCs w:val="28"/>
        </w:rPr>
        <w:t xml:space="preserve">                                        </w:t>
      </w:r>
      <w:r w:rsidR="00C868E6">
        <w:rPr>
          <w:b/>
          <w:bCs/>
          <w:sz w:val="28"/>
          <w:szCs w:val="28"/>
        </w:rPr>
        <w:t>STRESS TESTING FRAMEWORK</w:t>
      </w:r>
    </w:p>
    <w:p w:rsidR="00C868E6" w:rsidRPr="004406C3" w:rsidRDefault="00C868E6" w:rsidP="00C868E6">
      <w:pPr>
        <w:rPr>
          <w:sz w:val="28"/>
          <w:szCs w:val="28"/>
        </w:rPr>
      </w:pPr>
      <w:r>
        <w:rPr>
          <w:sz w:val="28"/>
          <w:szCs w:val="28"/>
        </w:rPr>
        <w:t xml:space="preserve">                </w:t>
      </w:r>
      <w:r w:rsidR="004406C3">
        <w:rPr>
          <w:sz w:val="28"/>
          <w:szCs w:val="28"/>
        </w:rPr>
        <w:t xml:space="preserve">                               </w:t>
      </w:r>
      <w:r>
        <w:rPr>
          <w:sz w:val="28"/>
          <w:szCs w:val="28"/>
        </w:rPr>
        <w:t xml:space="preserve"> </w:t>
      </w:r>
      <w:r w:rsidRPr="00C868E6">
        <w:rPr>
          <w:b/>
          <w:bCs/>
          <w:i/>
          <w:iCs/>
          <w:sz w:val="28"/>
          <w:szCs w:val="28"/>
        </w:rPr>
        <w:t>Macroeconomic Shocks</w:t>
      </w:r>
    </w:p>
    <w:p w:rsidR="00C868E6" w:rsidRPr="00C868E6" w:rsidRDefault="00C868E6" w:rsidP="00C868E6">
      <w:pPr>
        <w:rPr>
          <w:sz w:val="28"/>
          <w:szCs w:val="28"/>
        </w:rPr>
      </w:pPr>
      <w:r>
        <w:rPr>
          <w:sz w:val="28"/>
          <w:szCs w:val="28"/>
        </w:rPr>
        <w:t xml:space="preserve">                        </w:t>
      </w:r>
      <w:r w:rsidRPr="00C868E6">
        <w:rPr>
          <w:sz w:val="28"/>
          <w:szCs w:val="28"/>
        </w:rPr>
        <w:t>(Economic slowdown, inflation, global uncertainty)</w:t>
      </w:r>
    </w:p>
    <w:p w:rsidR="00C868E6" w:rsidRPr="00C868E6" w:rsidRDefault="00C868E6" w:rsidP="00C868E6">
      <w:pPr>
        <w:rPr>
          <w:sz w:val="28"/>
          <w:szCs w:val="28"/>
        </w:rPr>
      </w:pPr>
      <w:r w:rsidRPr="00C868E6">
        <w:rPr>
          <w:sz w:val="28"/>
          <w:szCs w:val="28"/>
        </w:rPr>
        <w:t xml:space="preserve">            </w:t>
      </w:r>
      <w:r>
        <w:rPr>
          <w:sz w:val="28"/>
          <w:szCs w:val="28"/>
        </w:rPr>
        <w:t xml:space="preserve">                                                     </w:t>
      </w:r>
      <w:r w:rsidRPr="00C868E6">
        <w:rPr>
          <w:sz w:val="28"/>
          <w:szCs w:val="28"/>
        </w:rPr>
        <w:t>↓</w:t>
      </w:r>
    </w:p>
    <w:p w:rsidR="00C868E6" w:rsidRPr="00C868E6" w:rsidRDefault="00C868E6" w:rsidP="00C868E6">
      <w:pPr>
        <w:rPr>
          <w:b/>
          <w:bCs/>
          <w:i/>
          <w:iCs/>
          <w:sz w:val="28"/>
          <w:szCs w:val="28"/>
        </w:rPr>
      </w:pPr>
      <w:r>
        <w:rPr>
          <w:sz w:val="28"/>
          <w:szCs w:val="28"/>
        </w:rPr>
        <w:lastRenderedPageBreak/>
        <w:t xml:space="preserve">                                                 </w:t>
      </w:r>
      <w:r w:rsidRPr="00C868E6">
        <w:rPr>
          <w:b/>
          <w:bCs/>
          <w:i/>
          <w:iCs/>
          <w:sz w:val="28"/>
          <w:szCs w:val="28"/>
        </w:rPr>
        <w:t>Credit Risk Increase</w:t>
      </w:r>
    </w:p>
    <w:p w:rsidR="00C868E6" w:rsidRPr="00C868E6" w:rsidRDefault="00C868E6" w:rsidP="00C868E6">
      <w:pPr>
        <w:rPr>
          <w:sz w:val="28"/>
          <w:szCs w:val="28"/>
        </w:rPr>
      </w:pPr>
      <w:r>
        <w:rPr>
          <w:sz w:val="28"/>
          <w:szCs w:val="28"/>
        </w:rPr>
        <w:t xml:space="preserve">                                   </w:t>
      </w:r>
      <w:r w:rsidRPr="00C868E6">
        <w:rPr>
          <w:sz w:val="28"/>
          <w:szCs w:val="28"/>
        </w:rPr>
        <w:t>(Higher possibility of loan defaults)</w:t>
      </w:r>
    </w:p>
    <w:p w:rsidR="00C868E6" w:rsidRPr="00C868E6" w:rsidRDefault="00C868E6" w:rsidP="00C868E6">
      <w:pPr>
        <w:rPr>
          <w:sz w:val="28"/>
          <w:szCs w:val="28"/>
        </w:rPr>
      </w:pPr>
      <w:r w:rsidRPr="00C868E6">
        <w:rPr>
          <w:sz w:val="28"/>
          <w:szCs w:val="28"/>
        </w:rPr>
        <w:t xml:space="preserve">           </w:t>
      </w:r>
      <w:r>
        <w:rPr>
          <w:sz w:val="28"/>
          <w:szCs w:val="28"/>
        </w:rPr>
        <w:t xml:space="preserve">                                                    </w:t>
      </w:r>
      <w:r w:rsidRPr="00C868E6">
        <w:rPr>
          <w:sz w:val="28"/>
          <w:szCs w:val="28"/>
        </w:rPr>
        <w:t xml:space="preserve"> ↓</w:t>
      </w:r>
    </w:p>
    <w:p w:rsidR="00C868E6" w:rsidRPr="00C868E6" w:rsidRDefault="00C868E6" w:rsidP="00C868E6">
      <w:pPr>
        <w:rPr>
          <w:b/>
          <w:bCs/>
          <w:i/>
          <w:iCs/>
          <w:sz w:val="28"/>
          <w:szCs w:val="28"/>
        </w:rPr>
      </w:pPr>
      <w:r>
        <w:rPr>
          <w:sz w:val="28"/>
          <w:szCs w:val="28"/>
        </w:rPr>
        <w:t xml:space="preserve">                                               </w:t>
      </w:r>
      <w:r w:rsidRPr="00C868E6">
        <w:rPr>
          <w:b/>
          <w:bCs/>
          <w:i/>
          <w:iCs/>
          <w:sz w:val="28"/>
          <w:szCs w:val="28"/>
        </w:rPr>
        <w:t>Stress Testing by RBI</w:t>
      </w:r>
    </w:p>
    <w:p w:rsidR="00C868E6" w:rsidRPr="00C868E6" w:rsidRDefault="00C868E6" w:rsidP="00C868E6">
      <w:pPr>
        <w:rPr>
          <w:sz w:val="28"/>
          <w:szCs w:val="28"/>
        </w:rPr>
      </w:pPr>
      <w:r>
        <w:rPr>
          <w:sz w:val="28"/>
          <w:szCs w:val="28"/>
        </w:rPr>
        <w:t xml:space="preserve">                  </w:t>
      </w:r>
      <w:r w:rsidRPr="00C868E6">
        <w:rPr>
          <w:sz w:val="28"/>
          <w:szCs w:val="28"/>
        </w:rPr>
        <w:t>(RBI checks how banks perform under difficult conditions)</w:t>
      </w:r>
    </w:p>
    <w:p w:rsidR="00C868E6" w:rsidRPr="00C868E6" w:rsidRDefault="00C868E6" w:rsidP="00C868E6">
      <w:pPr>
        <w:rPr>
          <w:sz w:val="28"/>
          <w:szCs w:val="28"/>
        </w:rPr>
      </w:pPr>
      <w:r w:rsidRPr="00C868E6">
        <w:rPr>
          <w:sz w:val="28"/>
          <w:szCs w:val="28"/>
        </w:rPr>
        <w:t xml:space="preserve">           </w:t>
      </w:r>
      <w:r>
        <w:rPr>
          <w:sz w:val="28"/>
          <w:szCs w:val="28"/>
        </w:rPr>
        <w:t xml:space="preserve">                                                    </w:t>
      </w:r>
      <w:r w:rsidRPr="00C868E6">
        <w:rPr>
          <w:sz w:val="28"/>
          <w:szCs w:val="28"/>
        </w:rPr>
        <w:t xml:space="preserve"> ↓</w:t>
      </w:r>
    </w:p>
    <w:p w:rsidR="00C868E6" w:rsidRPr="00C868E6" w:rsidRDefault="00C868E6" w:rsidP="00C868E6">
      <w:pPr>
        <w:rPr>
          <w:b/>
          <w:bCs/>
          <w:i/>
          <w:iCs/>
          <w:sz w:val="28"/>
          <w:szCs w:val="28"/>
        </w:rPr>
      </w:pPr>
      <w:r>
        <w:rPr>
          <w:sz w:val="28"/>
          <w:szCs w:val="28"/>
        </w:rPr>
        <w:t xml:space="preserve">                                           </w:t>
      </w:r>
      <w:r w:rsidRPr="00C868E6">
        <w:rPr>
          <w:b/>
          <w:bCs/>
          <w:i/>
          <w:iCs/>
          <w:sz w:val="28"/>
          <w:szCs w:val="28"/>
        </w:rPr>
        <w:t>Capital Impact Assessment</w:t>
      </w:r>
    </w:p>
    <w:p w:rsidR="00C868E6" w:rsidRPr="00C868E6" w:rsidRDefault="00C868E6" w:rsidP="00C868E6">
      <w:pPr>
        <w:rPr>
          <w:sz w:val="28"/>
          <w:szCs w:val="28"/>
        </w:rPr>
      </w:pPr>
      <w:r>
        <w:rPr>
          <w:sz w:val="28"/>
          <w:szCs w:val="28"/>
        </w:rPr>
        <w:t xml:space="preserve">          </w:t>
      </w:r>
      <w:r w:rsidRPr="00C868E6">
        <w:rPr>
          <w:sz w:val="28"/>
          <w:szCs w:val="28"/>
        </w:rPr>
        <w:t>(Evaluation of whether banks have enough capital to absorb losses)</w:t>
      </w:r>
    </w:p>
    <w:p w:rsidR="00C868E6" w:rsidRPr="00C868E6" w:rsidRDefault="00C868E6" w:rsidP="00C868E6">
      <w:pPr>
        <w:rPr>
          <w:sz w:val="28"/>
          <w:szCs w:val="28"/>
        </w:rPr>
      </w:pPr>
      <w:r w:rsidRPr="00C868E6">
        <w:rPr>
          <w:sz w:val="28"/>
          <w:szCs w:val="28"/>
        </w:rPr>
        <w:t xml:space="preserve">            </w:t>
      </w:r>
      <w:r>
        <w:rPr>
          <w:sz w:val="28"/>
          <w:szCs w:val="28"/>
        </w:rPr>
        <w:t xml:space="preserve">                                                   </w:t>
      </w:r>
      <w:r w:rsidRPr="00C868E6">
        <w:rPr>
          <w:sz w:val="28"/>
          <w:szCs w:val="28"/>
        </w:rPr>
        <w:t>↓</w:t>
      </w:r>
    </w:p>
    <w:p w:rsidR="00C868E6" w:rsidRPr="00C868E6" w:rsidRDefault="00C868E6" w:rsidP="00C868E6">
      <w:pPr>
        <w:rPr>
          <w:b/>
          <w:bCs/>
          <w:i/>
          <w:iCs/>
          <w:sz w:val="28"/>
          <w:szCs w:val="28"/>
        </w:rPr>
      </w:pPr>
      <w:r>
        <w:rPr>
          <w:sz w:val="28"/>
          <w:szCs w:val="28"/>
        </w:rPr>
        <w:t xml:space="preserve">                           </w:t>
      </w:r>
      <w:r w:rsidRPr="00C868E6">
        <w:rPr>
          <w:b/>
          <w:bCs/>
          <w:i/>
          <w:iCs/>
          <w:sz w:val="28"/>
          <w:szCs w:val="28"/>
        </w:rPr>
        <w:t>Banks Remain Above Regulatory Minimum</w:t>
      </w:r>
    </w:p>
    <w:p w:rsidR="00FE1E49" w:rsidRDefault="00C868E6" w:rsidP="00FE1E49">
      <w:pPr>
        <w:rPr>
          <w:sz w:val="28"/>
          <w:szCs w:val="28"/>
        </w:rPr>
      </w:pPr>
      <w:r>
        <w:rPr>
          <w:sz w:val="28"/>
          <w:szCs w:val="28"/>
        </w:rPr>
        <w:t xml:space="preserve">          </w:t>
      </w:r>
      <w:r w:rsidRPr="00C868E6">
        <w:rPr>
          <w:sz w:val="28"/>
          <w:szCs w:val="28"/>
        </w:rPr>
        <w:t>(Banks continue to maintain capital above RBI’s required limit)</w:t>
      </w:r>
    </w:p>
    <w:p w:rsidR="00FE1E49" w:rsidRDefault="00FE1E49" w:rsidP="00FE1E49">
      <w:pPr>
        <w:rPr>
          <w:sz w:val="28"/>
          <w:szCs w:val="28"/>
        </w:rPr>
      </w:pPr>
    </w:p>
    <w:p w:rsidR="00FE1E49" w:rsidRPr="004406C3" w:rsidRDefault="00A752B5" w:rsidP="00FE1E49">
      <w:pPr>
        <w:rPr>
          <w:b/>
          <w:bCs/>
          <w:sz w:val="32"/>
          <w:szCs w:val="32"/>
        </w:rPr>
      </w:pPr>
      <w:r w:rsidRPr="004406C3">
        <w:rPr>
          <w:b/>
          <w:bCs/>
          <w:sz w:val="28"/>
          <w:szCs w:val="28"/>
        </w:rPr>
        <w:t>3.4</w:t>
      </w:r>
      <w:r w:rsidR="0033783E" w:rsidRPr="004406C3">
        <w:rPr>
          <w:b/>
          <w:bCs/>
          <w:sz w:val="28"/>
          <w:szCs w:val="28"/>
        </w:rPr>
        <w:t xml:space="preserve"> </w:t>
      </w:r>
      <w:r w:rsidR="0033783E" w:rsidRPr="004406C3">
        <w:rPr>
          <w:b/>
          <w:bCs/>
          <w:sz w:val="28"/>
          <w:szCs w:val="28"/>
          <w:u w:val="single"/>
        </w:rPr>
        <w:t>CONTRADICTORY FACTORS &amp; EMERGING RISKS</w:t>
      </w:r>
      <w:r w:rsidR="00FE1E49" w:rsidRPr="004406C3">
        <w:rPr>
          <w:b/>
          <w:bCs/>
          <w:sz w:val="32"/>
          <w:szCs w:val="32"/>
          <w:lang w:val="en-GB"/>
        </w:rPr>
        <w:t>:</w:t>
      </w:r>
      <w:r w:rsidR="00E81402" w:rsidRPr="004406C3">
        <w:rPr>
          <w:b/>
          <w:bCs/>
          <w:sz w:val="32"/>
          <w:szCs w:val="32"/>
          <w:lang w:val="en-GB"/>
        </w:rPr>
        <w:t xml:space="preserve"> </w:t>
      </w:r>
    </w:p>
    <w:p w:rsidR="00433573" w:rsidRPr="00433573" w:rsidRDefault="00433573" w:rsidP="00433573">
      <w:pPr>
        <w:rPr>
          <w:sz w:val="28"/>
          <w:szCs w:val="28"/>
        </w:rPr>
      </w:pPr>
      <w:r w:rsidRPr="00433573">
        <w:rPr>
          <w:sz w:val="28"/>
          <w:szCs w:val="28"/>
        </w:rPr>
        <w:t>Although the Indian banking and financial sector showed significant improvement in profitability, capital strength, and asset quality, certain emerging risks continue to require close monitoring. Rising unsecured retail lending, increasing dependence on digital lending platforms, global financial uncertainty, and technology-related risks may create future challenges for banks, NBFCs, and the overall financial system if not managed carefully.</w:t>
      </w:r>
    </w:p>
    <w:p w:rsidR="00E81402" w:rsidRPr="00E81402" w:rsidRDefault="00E81402" w:rsidP="00E81402">
      <w:pPr>
        <w:rPr>
          <w:b/>
          <w:bCs/>
          <w:sz w:val="28"/>
          <w:szCs w:val="28"/>
        </w:rPr>
      </w:pPr>
      <w:r w:rsidRPr="00E81402">
        <w:rPr>
          <w:b/>
          <w:bCs/>
          <w:sz w:val="28"/>
          <w:szCs w:val="28"/>
        </w:rPr>
        <w:t>1. Unsecured Retail Lending Risk</w:t>
      </w:r>
    </w:p>
    <w:p w:rsidR="00E81402" w:rsidRPr="00E81402" w:rsidRDefault="00E81402" w:rsidP="00E81402">
      <w:pPr>
        <w:rPr>
          <w:b/>
          <w:bCs/>
          <w:sz w:val="28"/>
          <w:szCs w:val="28"/>
        </w:rPr>
      </w:pPr>
      <w:r w:rsidRPr="00E81402">
        <w:rPr>
          <w:b/>
          <w:bCs/>
          <w:sz w:val="28"/>
          <w:szCs w:val="28"/>
        </w:rPr>
        <w:t>Observation</w:t>
      </w:r>
    </w:p>
    <w:p w:rsidR="00E81402" w:rsidRPr="00E81402" w:rsidRDefault="00E81402" w:rsidP="00E81402">
      <w:pPr>
        <w:rPr>
          <w:sz w:val="28"/>
          <w:szCs w:val="28"/>
        </w:rPr>
      </w:pPr>
      <w:r w:rsidRPr="00E81402">
        <w:rPr>
          <w:sz w:val="28"/>
          <w:szCs w:val="28"/>
        </w:rPr>
        <w:t xml:space="preserve">Growth in unsecured retail loans such as personal loans and credit card borrowings </w:t>
      </w:r>
      <w:r w:rsidR="00050721">
        <w:rPr>
          <w:sz w:val="28"/>
          <w:szCs w:val="28"/>
        </w:rPr>
        <w:t>remained</w:t>
      </w:r>
      <w:r w:rsidR="00050721" w:rsidRPr="00050721">
        <w:rPr>
          <w:sz w:val="28"/>
          <w:szCs w:val="28"/>
        </w:rPr>
        <w:t xml:space="preserve"> high during the review period</w:t>
      </w:r>
    </w:p>
    <w:p w:rsidR="00E81402" w:rsidRPr="00E81402" w:rsidRDefault="00E81402" w:rsidP="00E81402">
      <w:pPr>
        <w:rPr>
          <w:b/>
          <w:bCs/>
          <w:sz w:val="28"/>
          <w:szCs w:val="28"/>
        </w:rPr>
      </w:pPr>
      <w:r w:rsidRPr="00E81402">
        <w:rPr>
          <w:b/>
          <w:bCs/>
          <w:sz w:val="28"/>
          <w:szCs w:val="28"/>
        </w:rPr>
        <w:t>Why It Matters</w:t>
      </w:r>
    </w:p>
    <w:p w:rsidR="00E81402" w:rsidRPr="00E81402" w:rsidRDefault="00E81402" w:rsidP="00E81402">
      <w:pPr>
        <w:rPr>
          <w:sz w:val="28"/>
          <w:szCs w:val="28"/>
        </w:rPr>
      </w:pPr>
      <w:r w:rsidRPr="00E81402">
        <w:rPr>
          <w:sz w:val="28"/>
          <w:szCs w:val="28"/>
        </w:rPr>
        <w:t>Unsecured loans are not backed by collateral, making them more vulnerable to defaults during economic stress or income disruptions.</w:t>
      </w:r>
    </w:p>
    <w:p w:rsidR="00E81402" w:rsidRPr="00E81402" w:rsidRDefault="00E81402" w:rsidP="00E81402">
      <w:pPr>
        <w:rPr>
          <w:b/>
          <w:bCs/>
          <w:sz w:val="28"/>
          <w:szCs w:val="28"/>
        </w:rPr>
      </w:pPr>
      <w:r w:rsidRPr="00E81402">
        <w:rPr>
          <w:b/>
          <w:bCs/>
          <w:sz w:val="28"/>
          <w:szCs w:val="28"/>
        </w:rPr>
        <w:t>Potential Impact</w:t>
      </w:r>
    </w:p>
    <w:p w:rsidR="00050721" w:rsidRPr="00050721" w:rsidRDefault="00050721" w:rsidP="00050721">
      <w:pPr>
        <w:rPr>
          <w:sz w:val="28"/>
          <w:szCs w:val="28"/>
        </w:rPr>
      </w:pPr>
      <w:r w:rsidRPr="00050721">
        <w:rPr>
          <w:sz w:val="28"/>
          <w:szCs w:val="28"/>
        </w:rPr>
        <w:t>A continuous increase in defaults and delayed payments in unsecured loans can reduce asset quality and raise credit risk for banks and NBFCs.</w:t>
      </w:r>
    </w:p>
    <w:p w:rsidR="00050721" w:rsidRPr="00050721" w:rsidRDefault="00050721" w:rsidP="00050721">
      <w:pPr>
        <w:rPr>
          <w:b/>
          <w:bCs/>
          <w:sz w:val="28"/>
          <w:szCs w:val="28"/>
        </w:rPr>
      </w:pPr>
      <w:r w:rsidRPr="00050721">
        <w:rPr>
          <w:b/>
          <w:bCs/>
          <w:sz w:val="28"/>
          <w:szCs w:val="28"/>
        </w:rPr>
        <w:lastRenderedPageBreak/>
        <w:t>2. Fintech &amp; Digital Lending Risk</w:t>
      </w:r>
    </w:p>
    <w:p w:rsidR="00050721" w:rsidRPr="00050721" w:rsidRDefault="00050721" w:rsidP="00050721">
      <w:pPr>
        <w:rPr>
          <w:b/>
          <w:bCs/>
          <w:sz w:val="28"/>
          <w:szCs w:val="28"/>
        </w:rPr>
      </w:pPr>
      <w:r w:rsidRPr="00050721">
        <w:rPr>
          <w:b/>
          <w:bCs/>
          <w:sz w:val="28"/>
          <w:szCs w:val="28"/>
        </w:rPr>
        <w:t>Observation</w:t>
      </w:r>
    </w:p>
    <w:p w:rsidR="00050721" w:rsidRPr="00050721" w:rsidRDefault="00050721" w:rsidP="00050721">
      <w:pPr>
        <w:rPr>
          <w:sz w:val="28"/>
          <w:szCs w:val="28"/>
        </w:rPr>
      </w:pPr>
      <w:r w:rsidRPr="00050721">
        <w:rPr>
          <w:sz w:val="28"/>
          <w:szCs w:val="28"/>
        </w:rPr>
        <w:t xml:space="preserve">Digital lending platforms and </w:t>
      </w:r>
      <w:proofErr w:type="spellStart"/>
      <w:r w:rsidRPr="00050721">
        <w:rPr>
          <w:sz w:val="28"/>
          <w:szCs w:val="28"/>
        </w:rPr>
        <w:t>fintech</w:t>
      </w:r>
      <w:proofErr w:type="spellEnd"/>
      <w:r w:rsidRPr="00050721">
        <w:rPr>
          <w:sz w:val="28"/>
          <w:szCs w:val="28"/>
        </w:rPr>
        <w:t>-based credit models are expanding rapidly across the financial sector.</w:t>
      </w:r>
    </w:p>
    <w:p w:rsidR="00050721" w:rsidRPr="00050721" w:rsidRDefault="00050721" w:rsidP="00050721">
      <w:pPr>
        <w:rPr>
          <w:b/>
          <w:bCs/>
          <w:sz w:val="28"/>
          <w:szCs w:val="28"/>
        </w:rPr>
      </w:pPr>
      <w:r w:rsidRPr="00050721">
        <w:rPr>
          <w:b/>
          <w:bCs/>
          <w:sz w:val="28"/>
          <w:szCs w:val="28"/>
        </w:rPr>
        <w:t>Why It Matters</w:t>
      </w:r>
    </w:p>
    <w:p w:rsidR="00050721" w:rsidRPr="00050721" w:rsidRDefault="00050721" w:rsidP="00050721">
      <w:pPr>
        <w:rPr>
          <w:sz w:val="28"/>
          <w:szCs w:val="28"/>
        </w:rPr>
      </w:pPr>
      <w:r w:rsidRPr="00050721">
        <w:rPr>
          <w:sz w:val="28"/>
          <w:szCs w:val="28"/>
        </w:rPr>
        <w:t>Aggressive lending and weak borrower checks may increase operational risks and consumer protection concerns.</w:t>
      </w:r>
    </w:p>
    <w:p w:rsidR="00050721" w:rsidRPr="00050721" w:rsidRDefault="00050721" w:rsidP="00050721">
      <w:pPr>
        <w:rPr>
          <w:b/>
          <w:bCs/>
          <w:sz w:val="28"/>
          <w:szCs w:val="28"/>
        </w:rPr>
      </w:pPr>
      <w:r w:rsidRPr="00050721">
        <w:rPr>
          <w:b/>
          <w:bCs/>
          <w:sz w:val="28"/>
          <w:szCs w:val="28"/>
        </w:rPr>
        <w:t>Potential Impact</w:t>
      </w:r>
    </w:p>
    <w:p w:rsidR="00050721" w:rsidRPr="00050721" w:rsidRDefault="00050721" w:rsidP="00050721">
      <w:pPr>
        <w:rPr>
          <w:sz w:val="28"/>
          <w:szCs w:val="28"/>
        </w:rPr>
      </w:pPr>
      <w:r w:rsidRPr="00050721">
        <w:rPr>
          <w:sz w:val="28"/>
          <w:szCs w:val="28"/>
        </w:rPr>
        <w:t>Inadequate regulatory oversight or poor credit assessment mechanisms could result in higher default rates and financial instability in digitally originated loans.</w:t>
      </w:r>
    </w:p>
    <w:p w:rsidR="00050721" w:rsidRPr="00050721" w:rsidRDefault="00050721" w:rsidP="00050721">
      <w:pPr>
        <w:rPr>
          <w:b/>
          <w:bCs/>
          <w:sz w:val="28"/>
          <w:szCs w:val="28"/>
        </w:rPr>
      </w:pPr>
      <w:r w:rsidRPr="00050721">
        <w:rPr>
          <w:b/>
          <w:bCs/>
          <w:sz w:val="28"/>
          <w:szCs w:val="28"/>
        </w:rPr>
        <w:t>3. Global Macroeconomic Risk</w:t>
      </w:r>
    </w:p>
    <w:p w:rsidR="00050721" w:rsidRPr="00050721" w:rsidRDefault="00050721" w:rsidP="00050721">
      <w:pPr>
        <w:rPr>
          <w:b/>
          <w:bCs/>
          <w:sz w:val="28"/>
          <w:szCs w:val="28"/>
        </w:rPr>
      </w:pPr>
      <w:r w:rsidRPr="00050721">
        <w:rPr>
          <w:b/>
          <w:bCs/>
          <w:sz w:val="28"/>
          <w:szCs w:val="28"/>
        </w:rPr>
        <w:t>Observation</w:t>
      </w:r>
    </w:p>
    <w:p w:rsidR="00050721" w:rsidRPr="00050721" w:rsidRDefault="00050721" w:rsidP="00050721">
      <w:pPr>
        <w:rPr>
          <w:sz w:val="28"/>
          <w:szCs w:val="28"/>
        </w:rPr>
      </w:pPr>
      <w:r w:rsidRPr="00050721">
        <w:rPr>
          <w:sz w:val="28"/>
          <w:szCs w:val="28"/>
        </w:rPr>
        <w:t xml:space="preserve">Geopolitical tensions, trade uncertainty, and volatile global financial conditions continue to affect the external economic environment. </w:t>
      </w:r>
    </w:p>
    <w:p w:rsidR="00050721" w:rsidRPr="00050721" w:rsidRDefault="00050721" w:rsidP="00050721">
      <w:pPr>
        <w:rPr>
          <w:b/>
          <w:bCs/>
          <w:sz w:val="28"/>
          <w:szCs w:val="28"/>
        </w:rPr>
      </w:pPr>
      <w:r w:rsidRPr="00050721">
        <w:rPr>
          <w:b/>
          <w:bCs/>
          <w:sz w:val="28"/>
          <w:szCs w:val="28"/>
        </w:rPr>
        <w:t>Why It Matters</w:t>
      </w:r>
    </w:p>
    <w:p w:rsidR="00050721" w:rsidRPr="00050721" w:rsidRDefault="00050721" w:rsidP="00050721">
      <w:pPr>
        <w:rPr>
          <w:sz w:val="28"/>
          <w:szCs w:val="28"/>
        </w:rPr>
      </w:pPr>
      <w:r w:rsidRPr="00050721">
        <w:rPr>
          <w:sz w:val="28"/>
          <w:szCs w:val="28"/>
        </w:rPr>
        <w:t>External shocks may trigger capital outflows, exchange rate volatility, and weaker investor sentiment in emerging economies like India.</w:t>
      </w:r>
    </w:p>
    <w:p w:rsidR="00050721" w:rsidRPr="00050721" w:rsidRDefault="00050721" w:rsidP="00050721">
      <w:pPr>
        <w:rPr>
          <w:b/>
          <w:bCs/>
          <w:sz w:val="28"/>
          <w:szCs w:val="28"/>
        </w:rPr>
      </w:pPr>
      <w:r w:rsidRPr="00050721">
        <w:rPr>
          <w:b/>
          <w:bCs/>
          <w:sz w:val="28"/>
          <w:szCs w:val="28"/>
        </w:rPr>
        <w:t>Potential Impact</w:t>
      </w:r>
    </w:p>
    <w:p w:rsidR="00050721" w:rsidRPr="00050721" w:rsidRDefault="00050721" w:rsidP="00050721">
      <w:pPr>
        <w:rPr>
          <w:sz w:val="28"/>
          <w:szCs w:val="28"/>
        </w:rPr>
      </w:pPr>
      <w:r w:rsidRPr="00050721">
        <w:rPr>
          <w:sz w:val="28"/>
          <w:szCs w:val="28"/>
        </w:rPr>
        <w:t>A sharp correction in global markets may tighten domestic financial conditions and adversely impact growth, trade, and financial market stability.</w:t>
      </w:r>
    </w:p>
    <w:p w:rsidR="00050721" w:rsidRPr="00050721" w:rsidRDefault="00050721" w:rsidP="00050721">
      <w:pPr>
        <w:rPr>
          <w:b/>
          <w:bCs/>
          <w:sz w:val="28"/>
          <w:szCs w:val="28"/>
        </w:rPr>
      </w:pPr>
      <w:r w:rsidRPr="00050721">
        <w:rPr>
          <w:b/>
          <w:bCs/>
          <w:sz w:val="28"/>
          <w:szCs w:val="28"/>
        </w:rPr>
        <w:t>4. Cybersecurity &amp; Technology Risk</w:t>
      </w:r>
    </w:p>
    <w:p w:rsidR="00050721" w:rsidRPr="00050721" w:rsidRDefault="00050721" w:rsidP="00050721">
      <w:pPr>
        <w:rPr>
          <w:b/>
          <w:bCs/>
          <w:sz w:val="28"/>
          <w:szCs w:val="28"/>
        </w:rPr>
      </w:pPr>
      <w:r w:rsidRPr="00050721">
        <w:rPr>
          <w:b/>
          <w:bCs/>
          <w:sz w:val="28"/>
          <w:szCs w:val="28"/>
        </w:rPr>
        <w:t>Observation</w:t>
      </w:r>
    </w:p>
    <w:p w:rsidR="00050721" w:rsidRPr="00050721" w:rsidRDefault="00050721" w:rsidP="00050721">
      <w:pPr>
        <w:rPr>
          <w:sz w:val="28"/>
          <w:szCs w:val="28"/>
        </w:rPr>
      </w:pPr>
      <w:r w:rsidRPr="00050721">
        <w:rPr>
          <w:sz w:val="28"/>
          <w:szCs w:val="28"/>
        </w:rPr>
        <w:t>The increasing digitalisation of banking and financial services has expanded dependence on technology infrastructure.</w:t>
      </w:r>
    </w:p>
    <w:p w:rsidR="00050721" w:rsidRPr="00050721" w:rsidRDefault="00050721" w:rsidP="00050721">
      <w:pPr>
        <w:rPr>
          <w:b/>
          <w:bCs/>
          <w:sz w:val="28"/>
          <w:szCs w:val="28"/>
        </w:rPr>
      </w:pPr>
      <w:r w:rsidRPr="00050721">
        <w:rPr>
          <w:b/>
          <w:bCs/>
          <w:sz w:val="28"/>
          <w:szCs w:val="28"/>
        </w:rPr>
        <w:t>Why It Matters</w:t>
      </w:r>
    </w:p>
    <w:p w:rsidR="00050721" w:rsidRPr="00050721" w:rsidRDefault="00050721" w:rsidP="00050721">
      <w:pPr>
        <w:rPr>
          <w:sz w:val="28"/>
          <w:szCs w:val="28"/>
        </w:rPr>
      </w:pPr>
      <w:r w:rsidRPr="00050721">
        <w:rPr>
          <w:sz w:val="28"/>
          <w:szCs w:val="28"/>
        </w:rPr>
        <w:t>Cyberattacks, data breaches, and operational disruptions may affect financial institutions and customer confidence.</w:t>
      </w:r>
    </w:p>
    <w:p w:rsidR="00050721" w:rsidRPr="00050721" w:rsidRDefault="00050721" w:rsidP="00050721">
      <w:pPr>
        <w:rPr>
          <w:b/>
          <w:bCs/>
          <w:sz w:val="28"/>
          <w:szCs w:val="28"/>
        </w:rPr>
      </w:pPr>
      <w:r w:rsidRPr="00050721">
        <w:rPr>
          <w:b/>
          <w:bCs/>
          <w:sz w:val="28"/>
          <w:szCs w:val="28"/>
        </w:rPr>
        <w:t>Potential Impact</w:t>
      </w:r>
    </w:p>
    <w:p w:rsidR="00050721" w:rsidRPr="00050721" w:rsidRDefault="00050721" w:rsidP="00050721">
      <w:pPr>
        <w:rPr>
          <w:sz w:val="28"/>
          <w:szCs w:val="28"/>
        </w:rPr>
      </w:pPr>
      <w:r w:rsidRPr="00050721">
        <w:rPr>
          <w:sz w:val="28"/>
          <w:szCs w:val="28"/>
        </w:rPr>
        <w:lastRenderedPageBreak/>
        <w:t>Systemic cyber incidents could disrupt payment systems, digital banking operations, and overall financial sector stability.</w:t>
      </w:r>
    </w:p>
    <w:p w:rsidR="00050721" w:rsidRPr="00050721" w:rsidRDefault="00D84842" w:rsidP="00050721">
      <w:pPr>
        <w:rPr>
          <w:b/>
          <w:bCs/>
          <w:sz w:val="28"/>
          <w:szCs w:val="28"/>
        </w:rPr>
      </w:pPr>
      <w:r>
        <w:rPr>
          <w:b/>
          <w:bCs/>
          <w:sz w:val="28"/>
          <w:szCs w:val="28"/>
        </w:rPr>
        <w:t>5. Environmental, Social &amp; Governance</w:t>
      </w:r>
      <w:r w:rsidR="00050721" w:rsidRPr="00050721">
        <w:rPr>
          <w:b/>
          <w:bCs/>
          <w:sz w:val="28"/>
          <w:szCs w:val="28"/>
        </w:rPr>
        <w:t xml:space="preserve"> Risk</w:t>
      </w:r>
    </w:p>
    <w:p w:rsidR="00050721" w:rsidRPr="00050721" w:rsidRDefault="00050721" w:rsidP="00050721">
      <w:pPr>
        <w:rPr>
          <w:b/>
          <w:bCs/>
          <w:sz w:val="28"/>
          <w:szCs w:val="28"/>
        </w:rPr>
      </w:pPr>
      <w:r w:rsidRPr="00050721">
        <w:rPr>
          <w:b/>
          <w:bCs/>
          <w:sz w:val="28"/>
          <w:szCs w:val="28"/>
        </w:rPr>
        <w:t>Observation</w:t>
      </w:r>
    </w:p>
    <w:p w:rsidR="00050721" w:rsidRPr="00050721" w:rsidRDefault="00050721" w:rsidP="00050721">
      <w:pPr>
        <w:rPr>
          <w:sz w:val="28"/>
          <w:szCs w:val="28"/>
        </w:rPr>
      </w:pPr>
      <w:r w:rsidRPr="00050721">
        <w:rPr>
          <w:sz w:val="28"/>
          <w:szCs w:val="28"/>
        </w:rPr>
        <w:t>Climate-related financial risks are emerging as an important area of regulatory focus globally and domestically.</w:t>
      </w:r>
    </w:p>
    <w:p w:rsidR="00050721" w:rsidRPr="00050721" w:rsidRDefault="00050721" w:rsidP="00050721">
      <w:pPr>
        <w:rPr>
          <w:b/>
          <w:bCs/>
          <w:sz w:val="28"/>
          <w:szCs w:val="28"/>
        </w:rPr>
      </w:pPr>
      <w:r w:rsidRPr="00050721">
        <w:rPr>
          <w:b/>
          <w:bCs/>
          <w:sz w:val="28"/>
          <w:szCs w:val="28"/>
        </w:rPr>
        <w:t>Why It Matters</w:t>
      </w:r>
    </w:p>
    <w:p w:rsidR="000B088B" w:rsidRPr="000B088B" w:rsidRDefault="000B088B" w:rsidP="000B088B">
      <w:pPr>
        <w:rPr>
          <w:sz w:val="28"/>
          <w:szCs w:val="28"/>
        </w:rPr>
      </w:pPr>
      <w:r w:rsidRPr="000B088B">
        <w:rPr>
          <w:sz w:val="28"/>
          <w:szCs w:val="28"/>
        </w:rPr>
        <w:t>Climate-related events and stricter environmental regulations can reduce the profits and asset values of some industries, increasing the risk of loan defaults and financial losses for banks and financial institutions.</w:t>
      </w:r>
    </w:p>
    <w:p w:rsidR="00050721" w:rsidRPr="00050721" w:rsidRDefault="00050721" w:rsidP="00050721">
      <w:pPr>
        <w:rPr>
          <w:b/>
          <w:bCs/>
          <w:sz w:val="28"/>
          <w:szCs w:val="28"/>
        </w:rPr>
      </w:pPr>
      <w:r w:rsidRPr="00050721">
        <w:rPr>
          <w:b/>
          <w:bCs/>
          <w:sz w:val="28"/>
          <w:szCs w:val="28"/>
        </w:rPr>
        <w:t>Potential Impact</w:t>
      </w:r>
    </w:p>
    <w:p w:rsidR="003D1F2B" w:rsidRDefault="003D1F2B" w:rsidP="003D1F2B">
      <w:pPr>
        <w:rPr>
          <w:sz w:val="28"/>
          <w:szCs w:val="28"/>
        </w:rPr>
      </w:pPr>
      <w:r w:rsidRPr="003D1F2B">
        <w:rPr>
          <w:sz w:val="28"/>
          <w:szCs w:val="28"/>
        </w:rPr>
        <w:t>Ignoring climate risks in financial decisions may create long-term</w:t>
      </w:r>
      <w:r w:rsidR="008E1E9D">
        <w:rPr>
          <w:sz w:val="28"/>
          <w:szCs w:val="28"/>
        </w:rPr>
        <w:t xml:space="preserve"> risks for the financial system b</w:t>
      </w:r>
      <w:r w:rsidRPr="003D1F2B">
        <w:rPr>
          <w:sz w:val="28"/>
          <w:szCs w:val="28"/>
        </w:rPr>
        <w:t>ecause climate-related events such as floods, heatwaves, stricter environmental regulations, or shifts toward clean energy can affect businesses’ profits and their ability to repay loans. If banks and financial institutions do not consider these risks while lending or investing, they may face higher defaults, falling asset values, and financial losses in the future.</w:t>
      </w:r>
    </w:p>
    <w:p w:rsidR="00433573" w:rsidRDefault="00433573" w:rsidP="003D1F2B">
      <w:pPr>
        <w:rPr>
          <w:sz w:val="28"/>
          <w:szCs w:val="28"/>
        </w:rPr>
      </w:pPr>
    </w:p>
    <w:p w:rsidR="00433573" w:rsidRDefault="00433573" w:rsidP="003D1F2B">
      <w:pPr>
        <w:rPr>
          <w:sz w:val="28"/>
          <w:szCs w:val="28"/>
        </w:rPr>
      </w:pPr>
      <w:r w:rsidRPr="00433573">
        <w:rPr>
          <w:sz w:val="28"/>
          <w:szCs w:val="28"/>
        </w:rPr>
        <w:t>Therefore, while the Indian financial system remains resilient, continuous regulatory monitoring and prudent risk management remain essential to maintain long-term financial stability.</w:t>
      </w:r>
    </w:p>
    <w:p w:rsidR="003166D8" w:rsidRDefault="003166D8" w:rsidP="003D1F2B">
      <w:pPr>
        <w:rPr>
          <w:sz w:val="28"/>
          <w:szCs w:val="28"/>
        </w:rPr>
      </w:pPr>
    </w:p>
    <w:p w:rsidR="003166D8" w:rsidRPr="004406C3" w:rsidRDefault="00AA7C28" w:rsidP="004406C3">
      <w:pPr>
        <w:pStyle w:val="ListParagraph"/>
        <w:numPr>
          <w:ilvl w:val="0"/>
          <w:numId w:val="10"/>
        </w:numPr>
        <w:rPr>
          <w:b/>
          <w:bCs/>
          <w:sz w:val="32"/>
          <w:szCs w:val="32"/>
        </w:rPr>
      </w:pPr>
      <w:r>
        <w:rPr>
          <w:b/>
          <w:bCs/>
          <w:sz w:val="32"/>
          <w:szCs w:val="32"/>
        </w:rPr>
        <w:t xml:space="preserve"> </w:t>
      </w:r>
      <w:r w:rsidR="003166D8" w:rsidRPr="004406C3">
        <w:rPr>
          <w:b/>
          <w:bCs/>
          <w:sz w:val="32"/>
          <w:szCs w:val="32"/>
        </w:rPr>
        <w:t xml:space="preserve">CAUSES BEHIND IMPROVED FINANCIAL STABILITY: </w:t>
      </w:r>
    </w:p>
    <w:p w:rsidR="003166D8" w:rsidRPr="003166D8" w:rsidRDefault="004406C3" w:rsidP="004406C3">
      <w:pPr>
        <w:rPr>
          <w:sz w:val="28"/>
          <w:szCs w:val="28"/>
        </w:rPr>
      </w:pPr>
      <w:r>
        <w:rPr>
          <w:sz w:val="28"/>
          <w:szCs w:val="28"/>
        </w:rPr>
        <w:t xml:space="preserve">1. </w:t>
      </w:r>
      <w:r w:rsidR="003166D8" w:rsidRPr="003166D8">
        <w:rPr>
          <w:sz w:val="28"/>
          <w:szCs w:val="28"/>
        </w:rPr>
        <w:t>The Reserve Bank of India (RBI) followed careful monetary and financial policies, which helped maintain stability in the banking and financial system.</w:t>
      </w:r>
    </w:p>
    <w:p w:rsidR="003166D8" w:rsidRPr="003166D8" w:rsidRDefault="004406C3" w:rsidP="004406C3">
      <w:pPr>
        <w:rPr>
          <w:sz w:val="28"/>
          <w:szCs w:val="28"/>
        </w:rPr>
      </w:pPr>
      <w:r>
        <w:rPr>
          <w:sz w:val="28"/>
          <w:szCs w:val="28"/>
        </w:rPr>
        <w:t xml:space="preserve">2. </w:t>
      </w:r>
      <w:r w:rsidR="003166D8" w:rsidRPr="003166D8">
        <w:rPr>
          <w:sz w:val="28"/>
          <w:szCs w:val="28"/>
        </w:rPr>
        <w:t>Banks improved their loan recovery processes and kept more financial reserves for possible losses, which helped reduce bad loans (NPAs).</w:t>
      </w:r>
    </w:p>
    <w:p w:rsidR="003166D8" w:rsidRPr="004406C3" w:rsidRDefault="004406C3" w:rsidP="004406C3">
      <w:pPr>
        <w:rPr>
          <w:sz w:val="28"/>
          <w:szCs w:val="28"/>
        </w:rPr>
      </w:pPr>
      <w:r>
        <w:rPr>
          <w:sz w:val="28"/>
          <w:szCs w:val="28"/>
        </w:rPr>
        <w:t xml:space="preserve">3. </w:t>
      </w:r>
      <w:r w:rsidR="003166D8" w:rsidRPr="004406C3">
        <w:rPr>
          <w:sz w:val="28"/>
          <w:szCs w:val="28"/>
        </w:rPr>
        <w:t>Strong domestic demand and regular economic activity supported business growth and increased financial stability.</w:t>
      </w:r>
    </w:p>
    <w:p w:rsidR="003166D8" w:rsidRPr="003166D8" w:rsidRDefault="004406C3" w:rsidP="004406C3">
      <w:pPr>
        <w:rPr>
          <w:sz w:val="28"/>
          <w:szCs w:val="28"/>
        </w:rPr>
      </w:pPr>
      <w:r>
        <w:rPr>
          <w:sz w:val="28"/>
          <w:szCs w:val="28"/>
        </w:rPr>
        <w:t xml:space="preserve">4. </w:t>
      </w:r>
      <w:r w:rsidR="003166D8" w:rsidRPr="003166D8">
        <w:rPr>
          <w:sz w:val="28"/>
          <w:szCs w:val="28"/>
        </w:rPr>
        <w:t>Inflation remained under control during the review period, which helped maintain stable economic conditions.</w:t>
      </w:r>
    </w:p>
    <w:p w:rsidR="003166D8" w:rsidRPr="003166D8" w:rsidRDefault="004406C3" w:rsidP="004406C3">
      <w:pPr>
        <w:rPr>
          <w:sz w:val="28"/>
          <w:szCs w:val="28"/>
        </w:rPr>
      </w:pPr>
      <w:r>
        <w:rPr>
          <w:sz w:val="28"/>
          <w:szCs w:val="28"/>
        </w:rPr>
        <w:lastRenderedPageBreak/>
        <w:t xml:space="preserve">5. </w:t>
      </w:r>
      <w:r w:rsidR="003166D8" w:rsidRPr="003166D8">
        <w:rPr>
          <w:sz w:val="28"/>
          <w:szCs w:val="28"/>
        </w:rPr>
        <w:t>Many companies improved their financial position and profitability, which reduced the chances of loan defaults.</w:t>
      </w:r>
    </w:p>
    <w:p w:rsidR="003166D8" w:rsidRPr="003166D8" w:rsidRDefault="004406C3" w:rsidP="004406C3">
      <w:pPr>
        <w:rPr>
          <w:sz w:val="28"/>
          <w:szCs w:val="28"/>
        </w:rPr>
      </w:pPr>
      <w:r>
        <w:rPr>
          <w:sz w:val="28"/>
          <w:szCs w:val="28"/>
        </w:rPr>
        <w:t xml:space="preserve">6. </w:t>
      </w:r>
      <w:r w:rsidR="003166D8" w:rsidRPr="003166D8">
        <w:rPr>
          <w:sz w:val="28"/>
          <w:szCs w:val="28"/>
        </w:rPr>
        <w:t>Banks maintained strong capital reserves, helping them handle financial stress and unexpected economic shocks more effectively.</w:t>
      </w:r>
    </w:p>
    <w:p w:rsidR="003166D8" w:rsidRDefault="004406C3" w:rsidP="004406C3">
      <w:pPr>
        <w:rPr>
          <w:sz w:val="28"/>
          <w:szCs w:val="28"/>
        </w:rPr>
      </w:pPr>
      <w:r>
        <w:rPr>
          <w:sz w:val="28"/>
          <w:szCs w:val="28"/>
        </w:rPr>
        <w:t xml:space="preserve">7. </w:t>
      </w:r>
      <w:r w:rsidR="003166D8" w:rsidRPr="003166D8">
        <w:rPr>
          <w:sz w:val="28"/>
          <w:szCs w:val="28"/>
        </w:rPr>
        <w:t>Stable profits and sufficient liquidity helped banks and NBFCs remain financially strong and resilient.</w:t>
      </w:r>
    </w:p>
    <w:p w:rsidR="00433573" w:rsidRDefault="00433573" w:rsidP="00433573">
      <w:pPr>
        <w:rPr>
          <w:sz w:val="28"/>
          <w:szCs w:val="28"/>
        </w:rPr>
      </w:pPr>
    </w:p>
    <w:p w:rsidR="00433573" w:rsidRDefault="004406C3" w:rsidP="00433573">
      <w:pPr>
        <w:rPr>
          <w:b/>
          <w:bCs/>
          <w:sz w:val="32"/>
          <w:szCs w:val="32"/>
        </w:rPr>
      </w:pPr>
      <w:r>
        <w:rPr>
          <w:b/>
          <w:bCs/>
          <w:sz w:val="32"/>
          <w:szCs w:val="32"/>
        </w:rPr>
        <w:t xml:space="preserve">             </w:t>
      </w:r>
      <w:r w:rsidR="00A752B5">
        <w:rPr>
          <w:b/>
          <w:bCs/>
          <w:sz w:val="32"/>
          <w:szCs w:val="32"/>
        </w:rPr>
        <w:t>5.0</w:t>
      </w:r>
      <w:r w:rsidR="00433573">
        <w:rPr>
          <w:b/>
          <w:bCs/>
          <w:sz w:val="32"/>
          <w:szCs w:val="32"/>
        </w:rPr>
        <w:t xml:space="preserve"> POLICY MEASURES &amp; REGULATORY RESPONSE:</w:t>
      </w:r>
    </w:p>
    <w:p w:rsidR="00433573" w:rsidRPr="00433573" w:rsidRDefault="00433573" w:rsidP="00433573">
      <w:pPr>
        <w:rPr>
          <w:b/>
          <w:bCs/>
          <w:sz w:val="32"/>
          <w:szCs w:val="32"/>
        </w:rPr>
      </w:pPr>
      <w:r w:rsidRPr="00433573">
        <w:rPr>
          <w:sz w:val="28"/>
          <w:szCs w:val="28"/>
        </w:rPr>
        <w:t>The Reserve Bank of India and other financial sector regulators continued to strengthen the resilience of the financial system through various regulatory and supervisory measures.</w:t>
      </w:r>
    </w:p>
    <w:p w:rsidR="00433573" w:rsidRPr="00433573" w:rsidRDefault="00433573" w:rsidP="00433573">
      <w:pPr>
        <w:rPr>
          <w:sz w:val="28"/>
          <w:szCs w:val="28"/>
        </w:rPr>
      </w:pPr>
      <w:r w:rsidRPr="00433573">
        <w:rPr>
          <w:sz w:val="28"/>
          <w:szCs w:val="28"/>
        </w:rPr>
        <w:t>Major policy initiatives included:</w:t>
      </w:r>
    </w:p>
    <w:p w:rsidR="00433573" w:rsidRPr="004406C3" w:rsidRDefault="004406C3" w:rsidP="004406C3">
      <w:pPr>
        <w:rPr>
          <w:sz w:val="28"/>
          <w:szCs w:val="28"/>
        </w:rPr>
      </w:pPr>
      <w:r>
        <w:rPr>
          <w:sz w:val="28"/>
          <w:szCs w:val="28"/>
        </w:rPr>
        <w:t xml:space="preserve">* </w:t>
      </w:r>
      <w:r w:rsidR="000135E6">
        <w:rPr>
          <w:sz w:val="28"/>
          <w:szCs w:val="28"/>
        </w:rPr>
        <w:t>S</w:t>
      </w:r>
      <w:r w:rsidR="00433573" w:rsidRPr="004406C3">
        <w:rPr>
          <w:sz w:val="28"/>
          <w:szCs w:val="28"/>
        </w:rPr>
        <w:t xml:space="preserve">trengthening digital lending regulations, </w:t>
      </w:r>
    </w:p>
    <w:p w:rsidR="00433573" w:rsidRPr="00433573" w:rsidRDefault="004406C3" w:rsidP="004406C3">
      <w:pPr>
        <w:rPr>
          <w:sz w:val="28"/>
          <w:szCs w:val="28"/>
        </w:rPr>
      </w:pPr>
      <w:r>
        <w:rPr>
          <w:sz w:val="28"/>
          <w:szCs w:val="28"/>
        </w:rPr>
        <w:t xml:space="preserve">* </w:t>
      </w:r>
      <w:r w:rsidR="000135E6">
        <w:rPr>
          <w:sz w:val="28"/>
          <w:szCs w:val="28"/>
        </w:rPr>
        <w:t>I</w:t>
      </w:r>
      <w:r w:rsidR="00433573" w:rsidRPr="00433573">
        <w:rPr>
          <w:sz w:val="28"/>
          <w:szCs w:val="28"/>
        </w:rPr>
        <w:t xml:space="preserve">mproving liquidity risk management frameworks, </w:t>
      </w:r>
    </w:p>
    <w:p w:rsidR="00433573" w:rsidRPr="00433573" w:rsidRDefault="004406C3" w:rsidP="004406C3">
      <w:pPr>
        <w:rPr>
          <w:sz w:val="28"/>
          <w:szCs w:val="28"/>
        </w:rPr>
      </w:pPr>
      <w:r>
        <w:rPr>
          <w:sz w:val="28"/>
          <w:szCs w:val="28"/>
        </w:rPr>
        <w:t xml:space="preserve">* </w:t>
      </w:r>
      <w:r w:rsidR="000135E6">
        <w:rPr>
          <w:sz w:val="28"/>
          <w:szCs w:val="28"/>
        </w:rPr>
        <w:t>E</w:t>
      </w:r>
      <w:r w:rsidR="00433573" w:rsidRPr="00433573">
        <w:rPr>
          <w:sz w:val="28"/>
          <w:szCs w:val="28"/>
        </w:rPr>
        <w:t xml:space="preserve">nhancing cybersecurity and operational resilience measures, </w:t>
      </w:r>
    </w:p>
    <w:p w:rsidR="00433573" w:rsidRPr="00433573" w:rsidRDefault="004406C3" w:rsidP="004406C3">
      <w:pPr>
        <w:rPr>
          <w:sz w:val="28"/>
          <w:szCs w:val="28"/>
        </w:rPr>
      </w:pPr>
      <w:r>
        <w:rPr>
          <w:sz w:val="28"/>
          <w:szCs w:val="28"/>
        </w:rPr>
        <w:t xml:space="preserve">* </w:t>
      </w:r>
      <w:r w:rsidR="000135E6">
        <w:rPr>
          <w:sz w:val="28"/>
          <w:szCs w:val="28"/>
        </w:rPr>
        <w:t>I</w:t>
      </w:r>
      <w:r w:rsidR="00433573" w:rsidRPr="00433573">
        <w:rPr>
          <w:sz w:val="28"/>
          <w:szCs w:val="28"/>
        </w:rPr>
        <w:t xml:space="preserve">ncreasing supervision of NBFCs and interconnected financial institutions, </w:t>
      </w:r>
    </w:p>
    <w:p w:rsidR="00433573" w:rsidRPr="00433573" w:rsidRDefault="004406C3" w:rsidP="004406C3">
      <w:pPr>
        <w:rPr>
          <w:sz w:val="28"/>
          <w:szCs w:val="28"/>
        </w:rPr>
      </w:pPr>
      <w:r>
        <w:rPr>
          <w:sz w:val="28"/>
          <w:szCs w:val="28"/>
        </w:rPr>
        <w:t xml:space="preserve">* </w:t>
      </w:r>
      <w:r w:rsidR="000135E6">
        <w:rPr>
          <w:sz w:val="28"/>
          <w:szCs w:val="28"/>
        </w:rPr>
        <w:t>P</w:t>
      </w:r>
      <w:r w:rsidR="00433573" w:rsidRPr="00433573">
        <w:rPr>
          <w:sz w:val="28"/>
          <w:szCs w:val="28"/>
        </w:rPr>
        <w:t xml:space="preserve">romoting customer and investor protection mechanisms, </w:t>
      </w:r>
    </w:p>
    <w:p w:rsidR="00433573" w:rsidRPr="00433573" w:rsidRDefault="004406C3" w:rsidP="004406C3">
      <w:pPr>
        <w:rPr>
          <w:sz w:val="28"/>
          <w:szCs w:val="28"/>
        </w:rPr>
      </w:pPr>
      <w:r>
        <w:rPr>
          <w:sz w:val="28"/>
          <w:szCs w:val="28"/>
        </w:rPr>
        <w:t xml:space="preserve">* </w:t>
      </w:r>
      <w:r w:rsidR="000135E6">
        <w:rPr>
          <w:sz w:val="28"/>
          <w:szCs w:val="28"/>
        </w:rPr>
        <w:t>A</w:t>
      </w:r>
      <w:r w:rsidR="00433573" w:rsidRPr="00433573">
        <w:rPr>
          <w:sz w:val="28"/>
          <w:szCs w:val="28"/>
        </w:rPr>
        <w:t xml:space="preserve">nd improving transparency and governance standards. </w:t>
      </w:r>
    </w:p>
    <w:p w:rsidR="00433573" w:rsidRPr="00433573" w:rsidRDefault="00433573" w:rsidP="00433573">
      <w:pPr>
        <w:rPr>
          <w:sz w:val="28"/>
          <w:szCs w:val="28"/>
        </w:rPr>
      </w:pPr>
      <w:r w:rsidRPr="00433573">
        <w:rPr>
          <w:sz w:val="28"/>
          <w:szCs w:val="28"/>
        </w:rPr>
        <w:t>The RBI also continued conducting periodic stress tests and macro-financial surveillance to assess the ability of financial institutions to withstand adverse economic conditions.</w:t>
      </w:r>
    </w:p>
    <w:p w:rsidR="00433573" w:rsidRPr="00433573" w:rsidRDefault="00433573" w:rsidP="00433573">
      <w:pPr>
        <w:rPr>
          <w:sz w:val="28"/>
          <w:szCs w:val="28"/>
        </w:rPr>
      </w:pPr>
      <w:r w:rsidRPr="00433573">
        <w:rPr>
          <w:sz w:val="28"/>
          <w:szCs w:val="28"/>
        </w:rPr>
        <w:t>In addition, regulators focused on monitoring emerging risks associated with fin</w:t>
      </w:r>
      <w:r w:rsidR="000135E6">
        <w:rPr>
          <w:sz w:val="28"/>
          <w:szCs w:val="28"/>
        </w:rPr>
        <w:t>-</w:t>
      </w:r>
      <w:r w:rsidRPr="00433573">
        <w:rPr>
          <w:sz w:val="28"/>
          <w:szCs w:val="28"/>
        </w:rPr>
        <w:t>tech platforms, unsecured retail lending, and global market volatility to maintain overall financial system stability.</w:t>
      </w:r>
    </w:p>
    <w:p w:rsidR="00433573" w:rsidRPr="003166D8" w:rsidRDefault="00433573" w:rsidP="00433573">
      <w:pPr>
        <w:rPr>
          <w:b/>
          <w:bCs/>
          <w:sz w:val="32"/>
          <w:szCs w:val="32"/>
        </w:rPr>
      </w:pPr>
    </w:p>
    <w:p w:rsidR="002025F3" w:rsidRPr="004406C3" w:rsidRDefault="004406C3" w:rsidP="004406C3">
      <w:pPr>
        <w:pStyle w:val="ListParagraph"/>
        <w:ind w:left="1068"/>
        <w:rPr>
          <w:b/>
          <w:bCs/>
          <w:sz w:val="32"/>
          <w:szCs w:val="32"/>
          <w:lang w:val="en-GB"/>
        </w:rPr>
      </w:pPr>
      <w:r>
        <w:rPr>
          <w:b/>
          <w:bCs/>
          <w:sz w:val="32"/>
          <w:szCs w:val="32"/>
          <w:lang w:val="en-GB"/>
        </w:rPr>
        <w:t xml:space="preserve">                        </w:t>
      </w:r>
      <w:r w:rsidR="009D3540">
        <w:rPr>
          <w:b/>
          <w:bCs/>
          <w:sz w:val="32"/>
          <w:szCs w:val="32"/>
          <w:lang w:val="en-GB"/>
        </w:rPr>
        <w:t>6.</w:t>
      </w:r>
      <w:r>
        <w:rPr>
          <w:b/>
          <w:bCs/>
          <w:sz w:val="32"/>
          <w:szCs w:val="32"/>
          <w:lang w:val="en-GB"/>
        </w:rPr>
        <w:t xml:space="preserve">0 </w:t>
      </w:r>
      <w:r w:rsidR="002025F3" w:rsidRPr="004406C3">
        <w:rPr>
          <w:b/>
          <w:bCs/>
          <w:sz w:val="32"/>
          <w:szCs w:val="32"/>
          <w:lang w:val="en-GB"/>
        </w:rPr>
        <w:t>RECOMMENDATIONS</w:t>
      </w:r>
    </w:p>
    <w:p w:rsidR="002025F3" w:rsidRPr="004406C3" w:rsidRDefault="004406C3" w:rsidP="004406C3">
      <w:pPr>
        <w:rPr>
          <w:sz w:val="28"/>
          <w:szCs w:val="28"/>
        </w:rPr>
      </w:pPr>
      <w:r>
        <w:rPr>
          <w:sz w:val="28"/>
          <w:szCs w:val="28"/>
        </w:rPr>
        <w:t xml:space="preserve">1. </w:t>
      </w:r>
      <w:r w:rsidR="002025F3" w:rsidRPr="004406C3">
        <w:rPr>
          <w:sz w:val="28"/>
          <w:szCs w:val="28"/>
        </w:rPr>
        <w:t xml:space="preserve">Banks and financial institutions should strengthen monitoring and risk assessment of unsecured retail lending to reduce the possibility of rising defaults during economic stress. </w:t>
      </w:r>
    </w:p>
    <w:p w:rsidR="002025F3" w:rsidRPr="002025F3" w:rsidRDefault="004406C3" w:rsidP="004406C3">
      <w:pPr>
        <w:rPr>
          <w:sz w:val="28"/>
          <w:szCs w:val="28"/>
        </w:rPr>
      </w:pPr>
      <w:r>
        <w:rPr>
          <w:sz w:val="28"/>
          <w:szCs w:val="28"/>
        </w:rPr>
        <w:lastRenderedPageBreak/>
        <w:t xml:space="preserve">2. </w:t>
      </w:r>
      <w:r w:rsidR="002025F3" w:rsidRPr="002025F3">
        <w:rPr>
          <w:sz w:val="28"/>
          <w:szCs w:val="28"/>
        </w:rPr>
        <w:t xml:space="preserve">Financial institutions should continue maintaining strong capital buffers and adequate liquidity reserves to improve resilience against global financial uncertainty and market volatility. </w:t>
      </w:r>
    </w:p>
    <w:p w:rsidR="002025F3" w:rsidRPr="002025F3" w:rsidRDefault="004406C3" w:rsidP="004406C3">
      <w:pPr>
        <w:rPr>
          <w:sz w:val="28"/>
          <w:szCs w:val="28"/>
        </w:rPr>
      </w:pPr>
      <w:r>
        <w:rPr>
          <w:sz w:val="28"/>
          <w:szCs w:val="28"/>
        </w:rPr>
        <w:t xml:space="preserve">3. </w:t>
      </w:r>
      <w:r w:rsidR="002025F3" w:rsidRPr="002025F3">
        <w:rPr>
          <w:sz w:val="28"/>
          <w:szCs w:val="28"/>
        </w:rPr>
        <w:t xml:space="preserve">RBI and financial regulators may further enhance supervision of digital lending platforms and </w:t>
      </w:r>
      <w:proofErr w:type="spellStart"/>
      <w:r w:rsidR="002025F3" w:rsidRPr="002025F3">
        <w:rPr>
          <w:sz w:val="28"/>
          <w:szCs w:val="28"/>
        </w:rPr>
        <w:t>fintech</w:t>
      </w:r>
      <w:proofErr w:type="spellEnd"/>
      <w:r w:rsidR="002025F3" w:rsidRPr="002025F3">
        <w:rPr>
          <w:sz w:val="28"/>
          <w:szCs w:val="28"/>
        </w:rPr>
        <w:t xml:space="preserve">-based credit models to ensure responsible lending practices and consumer protection. </w:t>
      </w:r>
    </w:p>
    <w:p w:rsidR="002025F3" w:rsidRPr="002025F3" w:rsidRDefault="004406C3" w:rsidP="004406C3">
      <w:pPr>
        <w:rPr>
          <w:sz w:val="28"/>
          <w:szCs w:val="28"/>
        </w:rPr>
      </w:pPr>
      <w:r>
        <w:rPr>
          <w:sz w:val="28"/>
          <w:szCs w:val="28"/>
        </w:rPr>
        <w:t xml:space="preserve">4. </w:t>
      </w:r>
      <w:r w:rsidR="00B876AA">
        <w:rPr>
          <w:sz w:val="28"/>
          <w:szCs w:val="28"/>
        </w:rPr>
        <w:t>Banks and Non-Ba</w:t>
      </w:r>
      <w:r w:rsidR="00A41AC3">
        <w:rPr>
          <w:sz w:val="28"/>
          <w:szCs w:val="28"/>
        </w:rPr>
        <w:t>nking Financial Compa</w:t>
      </w:r>
      <w:r w:rsidR="00B876AA">
        <w:rPr>
          <w:sz w:val="28"/>
          <w:szCs w:val="28"/>
        </w:rPr>
        <w:t>ny</w:t>
      </w:r>
      <w:r w:rsidR="002025F3" w:rsidRPr="002025F3">
        <w:rPr>
          <w:sz w:val="28"/>
          <w:szCs w:val="28"/>
        </w:rPr>
        <w:t xml:space="preserve"> should increase investments in cybersecurity infrastructure and operational risk management frameworks to address growing technology-related threats. </w:t>
      </w:r>
    </w:p>
    <w:p w:rsidR="002025F3" w:rsidRPr="002025F3" w:rsidRDefault="004406C3" w:rsidP="004406C3">
      <w:pPr>
        <w:rPr>
          <w:sz w:val="28"/>
          <w:szCs w:val="28"/>
        </w:rPr>
      </w:pPr>
      <w:r>
        <w:rPr>
          <w:sz w:val="28"/>
          <w:szCs w:val="28"/>
        </w:rPr>
        <w:t xml:space="preserve">5. </w:t>
      </w:r>
      <w:r w:rsidR="002025F3" w:rsidRPr="002025F3">
        <w:rPr>
          <w:sz w:val="28"/>
          <w:szCs w:val="28"/>
        </w:rPr>
        <w:t xml:space="preserve">Financial institutions should gradually integrate climate-related risk assessment and sustainable finance practices into their long-term financial planning and lending decisions. </w:t>
      </w:r>
    </w:p>
    <w:p w:rsidR="002025F3" w:rsidRDefault="004406C3" w:rsidP="004406C3">
      <w:pPr>
        <w:rPr>
          <w:sz w:val="28"/>
          <w:szCs w:val="28"/>
        </w:rPr>
      </w:pPr>
      <w:r>
        <w:rPr>
          <w:sz w:val="28"/>
          <w:szCs w:val="28"/>
        </w:rPr>
        <w:t xml:space="preserve">6. </w:t>
      </w:r>
      <w:r w:rsidR="002025F3" w:rsidRPr="002025F3">
        <w:rPr>
          <w:sz w:val="28"/>
          <w:szCs w:val="28"/>
        </w:rPr>
        <w:t xml:space="preserve">Continuous stress testing and periodic review of financial sector vulnerabilities should remain a priority to strengthen the overall stability of the Indian financial system. </w:t>
      </w:r>
    </w:p>
    <w:p w:rsidR="00B876AA" w:rsidRDefault="00B876AA" w:rsidP="00B876AA">
      <w:pPr>
        <w:rPr>
          <w:sz w:val="28"/>
          <w:szCs w:val="28"/>
        </w:rPr>
      </w:pPr>
    </w:p>
    <w:p w:rsidR="00B876AA" w:rsidRDefault="00B876AA" w:rsidP="00B876AA">
      <w:pPr>
        <w:rPr>
          <w:b/>
          <w:bCs/>
          <w:sz w:val="32"/>
          <w:szCs w:val="32"/>
        </w:rPr>
      </w:pPr>
      <w:r>
        <w:rPr>
          <w:b/>
          <w:bCs/>
          <w:sz w:val="32"/>
          <w:szCs w:val="32"/>
        </w:rPr>
        <w:t xml:space="preserve">                                                 </w:t>
      </w:r>
      <w:r w:rsidR="00A752B5">
        <w:rPr>
          <w:b/>
          <w:bCs/>
          <w:sz w:val="32"/>
          <w:szCs w:val="32"/>
        </w:rPr>
        <w:t xml:space="preserve">7.0 </w:t>
      </w:r>
      <w:r w:rsidRPr="00B876AA">
        <w:rPr>
          <w:b/>
          <w:bCs/>
          <w:sz w:val="32"/>
          <w:szCs w:val="32"/>
        </w:rPr>
        <w:t xml:space="preserve">CONCLUSIONS </w:t>
      </w:r>
    </w:p>
    <w:p w:rsidR="00B876AA" w:rsidRPr="00B876AA" w:rsidRDefault="00B876AA" w:rsidP="00B876AA">
      <w:pPr>
        <w:rPr>
          <w:sz w:val="28"/>
          <w:szCs w:val="28"/>
        </w:rPr>
      </w:pPr>
      <w:r w:rsidRPr="00B876AA">
        <w:rPr>
          <w:sz w:val="28"/>
          <w:szCs w:val="28"/>
        </w:rPr>
        <w:t>The RBI Financial Stability Report indicates that the Indian financial system remains stable, resilient, and well-capitalized despite ongoing global economic uncertainty and geopolitical challenges. Strong banking sector fundamentals, improved asset quality, stable profitability, and adequate liquidity buffers have significantly strengthened the resilience of financial institutions.</w:t>
      </w:r>
    </w:p>
    <w:p w:rsidR="00B876AA" w:rsidRPr="00B876AA" w:rsidRDefault="00B876AA" w:rsidP="00B876AA">
      <w:pPr>
        <w:rPr>
          <w:sz w:val="28"/>
          <w:szCs w:val="28"/>
        </w:rPr>
      </w:pPr>
      <w:r w:rsidRPr="00B876AA">
        <w:rPr>
          <w:sz w:val="28"/>
          <w:szCs w:val="28"/>
        </w:rPr>
        <w:t>Stress test results further demonstrate the ability of banks and NBFCs to withstand adverse macroeconomic conditions while maintaining regulatory capital requirements. At the same time, emerging risks related to unsecured lending, global market volatility, cybersecurity, and digital finance continue to require careful monitoring and proactive regulatory oversight.</w:t>
      </w:r>
    </w:p>
    <w:p w:rsidR="00B876AA" w:rsidRDefault="00B876AA" w:rsidP="00B876AA">
      <w:pPr>
        <w:rPr>
          <w:sz w:val="28"/>
          <w:szCs w:val="28"/>
        </w:rPr>
      </w:pPr>
      <w:r w:rsidRPr="00B876AA">
        <w:rPr>
          <w:sz w:val="28"/>
          <w:szCs w:val="28"/>
        </w:rPr>
        <w:t>Overall, prudent macroeconomic policies, effective regulatory supervision, and stronger financial sector balance sheets are expected to support the long-term stability and growth of the Indian financial system.</w:t>
      </w:r>
    </w:p>
    <w:p w:rsidR="00B876AA" w:rsidRDefault="00B876AA" w:rsidP="00B876AA">
      <w:pPr>
        <w:rPr>
          <w:sz w:val="28"/>
          <w:szCs w:val="28"/>
        </w:rPr>
      </w:pPr>
    </w:p>
    <w:p w:rsidR="00B876AA" w:rsidRDefault="00B876AA" w:rsidP="00B876AA">
      <w:pPr>
        <w:rPr>
          <w:b/>
          <w:bCs/>
          <w:sz w:val="32"/>
          <w:szCs w:val="32"/>
        </w:rPr>
      </w:pPr>
      <w:r>
        <w:rPr>
          <w:b/>
          <w:bCs/>
          <w:sz w:val="32"/>
          <w:szCs w:val="32"/>
        </w:rPr>
        <w:t xml:space="preserve">                                             </w:t>
      </w:r>
      <w:r w:rsidR="00A752B5">
        <w:rPr>
          <w:b/>
          <w:bCs/>
          <w:sz w:val="32"/>
          <w:szCs w:val="32"/>
        </w:rPr>
        <w:t>8.0</w:t>
      </w:r>
      <w:r w:rsidR="003A58BE">
        <w:rPr>
          <w:b/>
          <w:bCs/>
          <w:sz w:val="32"/>
          <w:szCs w:val="32"/>
        </w:rPr>
        <w:t xml:space="preserve"> </w:t>
      </w:r>
      <w:r>
        <w:rPr>
          <w:b/>
          <w:bCs/>
          <w:sz w:val="32"/>
          <w:szCs w:val="32"/>
        </w:rPr>
        <w:t xml:space="preserve"> METHODOLOGY</w:t>
      </w:r>
    </w:p>
    <w:p w:rsidR="00B876AA" w:rsidRPr="00B876AA" w:rsidRDefault="00B876AA" w:rsidP="00B876AA">
      <w:pPr>
        <w:rPr>
          <w:sz w:val="28"/>
          <w:szCs w:val="28"/>
        </w:rPr>
      </w:pPr>
      <w:r w:rsidRPr="00B876AA">
        <w:rPr>
          <w:sz w:val="28"/>
          <w:szCs w:val="28"/>
        </w:rPr>
        <w:lastRenderedPageBreak/>
        <w:t>This report is based on secondary research and analytical review of publicly available financial data and regulatory publications. The primary source of analysis is the Reserve Bank of India’s Financial Stability Report (FSR) – June 2025 and December 2025 editions. Additional references include RBI publications, regulatory disclosures, financial market reports, and publicly available economic data.</w:t>
      </w:r>
    </w:p>
    <w:p w:rsidR="00B876AA" w:rsidRPr="00B876AA" w:rsidRDefault="00B876AA" w:rsidP="00B876AA">
      <w:pPr>
        <w:rPr>
          <w:sz w:val="28"/>
          <w:szCs w:val="28"/>
        </w:rPr>
      </w:pPr>
      <w:r w:rsidRPr="00B876AA">
        <w:rPr>
          <w:sz w:val="28"/>
          <w:szCs w:val="28"/>
        </w:rPr>
        <w:t>The report evaluates:</w:t>
      </w:r>
    </w:p>
    <w:p w:rsidR="00B876AA" w:rsidRPr="00B876AA" w:rsidRDefault="004406C3" w:rsidP="004406C3">
      <w:pPr>
        <w:rPr>
          <w:sz w:val="28"/>
          <w:szCs w:val="28"/>
        </w:rPr>
      </w:pPr>
      <w:r>
        <w:rPr>
          <w:sz w:val="28"/>
          <w:szCs w:val="28"/>
        </w:rPr>
        <w:t xml:space="preserve">* </w:t>
      </w:r>
      <w:r w:rsidR="00B876AA" w:rsidRPr="00B876AA">
        <w:rPr>
          <w:sz w:val="28"/>
          <w:szCs w:val="28"/>
        </w:rPr>
        <w:t xml:space="preserve">Banking sector performance </w:t>
      </w:r>
    </w:p>
    <w:p w:rsidR="00B876AA" w:rsidRPr="00B876AA" w:rsidRDefault="004406C3" w:rsidP="004406C3">
      <w:pPr>
        <w:rPr>
          <w:sz w:val="28"/>
          <w:szCs w:val="28"/>
        </w:rPr>
      </w:pPr>
      <w:r>
        <w:rPr>
          <w:sz w:val="28"/>
          <w:szCs w:val="28"/>
        </w:rPr>
        <w:t xml:space="preserve">* </w:t>
      </w:r>
      <w:r w:rsidR="00B876AA" w:rsidRPr="00B876AA">
        <w:rPr>
          <w:sz w:val="28"/>
          <w:szCs w:val="28"/>
        </w:rPr>
        <w:t xml:space="preserve">NBFC stability </w:t>
      </w:r>
    </w:p>
    <w:p w:rsidR="00B876AA" w:rsidRPr="00B876AA" w:rsidRDefault="004406C3" w:rsidP="004406C3">
      <w:pPr>
        <w:rPr>
          <w:sz w:val="28"/>
          <w:szCs w:val="28"/>
        </w:rPr>
      </w:pPr>
      <w:r>
        <w:rPr>
          <w:sz w:val="28"/>
          <w:szCs w:val="28"/>
        </w:rPr>
        <w:t xml:space="preserve">* </w:t>
      </w:r>
      <w:r w:rsidR="00B876AA" w:rsidRPr="00B876AA">
        <w:rPr>
          <w:sz w:val="28"/>
          <w:szCs w:val="28"/>
        </w:rPr>
        <w:t xml:space="preserve">Financial market conditions </w:t>
      </w:r>
    </w:p>
    <w:p w:rsidR="00B876AA" w:rsidRPr="00B876AA" w:rsidRDefault="004406C3" w:rsidP="004406C3">
      <w:pPr>
        <w:rPr>
          <w:sz w:val="28"/>
          <w:szCs w:val="28"/>
        </w:rPr>
      </w:pPr>
      <w:r>
        <w:rPr>
          <w:sz w:val="28"/>
          <w:szCs w:val="28"/>
        </w:rPr>
        <w:t xml:space="preserve">* </w:t>
      </w:r>
      <w:r w:rsidR="00B876AA" w:rsidRPr="00B876AA">
        <w:rPr>
          <w:sz w:val="28"/>
          <w:szCs w:val="28"/>
        </w:rPr>
        <w:t xml:space="preserve">Stress testing outcomes </w:t>
      </w:r>
    </w:p>
    <w:p w:rsidR="00B876AA" w:rsidRPr="00B876AA" w:rsidRDefault="004406C3" w:rsidP="004406C3">
      <w:pPr>
        <w:rPr>
          <w:sz w:val="28"/>
          <w:szCs w:val="28"/>
        </w:rPr>
      </w:pPr>
      <w:r>
        <w:rPr>
          <w:sz w:val="28"/>
          <w:szCs w:val="28"/>
        </w:rPr>
        <w:t xml:space="preserve">* </w:t>
      </w:r>
      <w:r w:rsidR="00B876AA" w:rsidRPr="00B876AA">
        <w:rPr>
          <w:sz w:val="28"/>
          <w:szCs w:val="28"/>
        </w:rPr>
        <w:t xml:space="preserve">Emerging financial sector risks </w:t>
      </w:r>
    </w:p>
    <w:p w:rsidR="00B876AA" w:rsidRPr="00B876AA" w:rsidRDefault="00B876AA" w:rsidP="00B876AA">
      <w:pPr>
        <w:rPr>
          <w:sz w:val="28"/>
          <w:szCs w:val="28"/>
        </w:rPr>
      </w:pPr>
      <w:r w:rsidRPr="00B876AA">
        <w:rPr>
          <w:sz w:val="28"/>
          <w:szCs w:val="28"/>
        </w:rPr>
        <w:t>The analysis has been conducted using qualitative interpretation of RBI observations along with selected financial indicators and sectoral trends.</w:t>
      </w:r>
    </w:p>
    <w:p w:rsidR="00B876AA" w:rsidRPr="00B876AA" w:rsidRDefault="00B876AA" w:rsidP="00B876AA">
      <w:pPr>
        <w:rPr>
          <w:b/>
          <w:bCs/>
          <w:sz w:val="28"/>
          <w:szCs w:val="28"/>
        </w:rPr>
      </w:pPr>
      <w:r w:rsidRPr="00B876AA">
        <w:rPr>
          <w:b/>
          <w:bCs/>
          <w:sz w:val="28"/>
          <w:szCs w:val="28"/>
        </w:rPr>
        <w:t>Assumptions</w:t>
      </w:r>
      <w:r w:rsidR="000135E6">
        <w:rPr>
          <w:b/>
          <w:bCs/>
          <w:sz w:val="28"/>
          <w:szCs w:val="28"/>
        </w:rPr>
        <w:t>:</w:t>
      </w:r>
    </w:p>
    <w:p w:rsidR="00B876AA" w:rsidRPr="00B876AA" w:rsidRDefault="004406C3" w:rsidP="004406C3">
      <w:pPr>
        <w:rPr>
          <w:sz w:val="28"/>
          <w:szCs w:val="28"/>
        </w:rPr>
      </w:pPr>
      <w:r>
        <w:rPr>
          <w:sz w:val="28"/>
          <w:szCs w:val="28"/>
        </w:rPr>
        <w:t xml:space="preserve">* </w:t>
      </w:r>
      <w:r w:rsidR="00B876AA" w:rsidRPr="00B876AA">
        <w:rPr>
          <w:sz w:val="28"/>
          <w:szCs w:val="28"/>
        </w:rPr>
        <w:t xml:space="preserve">Financial data and regulatory information published by RBI and other official institutions are assumed to be accurate and reliable. </w:t>
      </w:r>
    </w:p>
    <w:p w:rsidR="00B876AA" w:rsidRPr="00B876AA" w:rsidRDefault="004406C3" w:rsidP="004406C3">
      <w:pPr>
        <w:rPr>
          <w:sz w:val="28"/>
          <w:szCs w:val="28"/>
        </w:rPr>
      </w:pPr>
      <w:r>
        <w:rPr>
          <w:sz w:val="28"/>
          <w:szCs w:val="28"/>
        </w:rPr>
        <w:t xml:space="preserve">* </w:t>
      </w:r>
      <w:r w:rsidR="00B876AA" w:rsidRPr="00B876AA">
        <w:rPr>
          <w:sz w:val="28"/>
          <w:szCs w:val="28"/>
        </w:rPr>
        <w:t xml:space="preserve">Macroeconomic conditions are assumed to remain relatively stable unless affected by significant global or domestic shocks. </w:t>
      </w:r>
    </w:p>
    <w:p w:rsidR="00B876AA" w:rsidRPr="00B876AA" w:rsidRDefault="004406C3" w:rsidP="004406C3">
      <w:pPr>
        <w:rPr>
          <w:sz w:val="28"/>
          <w:szCs w:val="28"/>
        </w:rPr>
      </w:pPr>
      <w:r>
        <w:rPr>
          <w:sz w:val="28"/>
          <w:szCs w:val="28"/>
        </w:rPr>
        <w:t xml:space="preserve">* </w:t>
      </w:r>
      <w:r w:rsidR="00B876AA" w:rsidRPr="00B876AA">
        <w:rPr>
          <w:sz w:val="28"/>
          <w:szCs w:val="28"/>
        </w:rPr>
        <w:t xml:space="preserve">Stress-testing observations are interpreted based on publicly available RBI assessments and adverse scenario projections. </w:t>
      </w:r>
    </w:p>
    <w:p w:rsidR="00B876AA" w:rsidRDefault="004406C3" w:rsidP="004406C3">
      <w:pPr>
        <w:rPr>
          <w:sz w:val="28"/>
          <w:szCs w:val="28"/>
        </w:rPr>
      </w:pPr>
      <w:r>
        <w:rPr>
          <w:sz w:val="28"/>
          <w:szCs w:val="28"/>
        </w:rPr>
        <w:t xml:space="preserve">* </w:t>
      </w:r>
      <w:r w:rsidR="00B876AA" w:rsidRPr="00B876AA">
        <w:rPr>
          <w:sz w:val="28"/>
          <w:szCs w:val="28"/>
        </w:rPr>
        <w:t>The report is prepared for educational and analytical purposes and does not include independent financial forecasting models.</w:t>
      </w:r>
    </w:p>
    <w:p w:rsidR="0080634F" w:rsidRDefault="0080634F" w:rsidP="0080634F">
      <w:pPr>
        <w:rPr>
          <w:b/>
          <w:bCs/>
          <w:sz w:val="32"/>
          <w:szCs w:val="32"/>
        </w:rPr>
      </w:pPr>
      <w:r>
        <w:rPr>
          <w:b/>
          <w:bCs/>
          <w:sz w:val="32"/>
          <w:szCs w:val="32"/>
        </w:rPr>
        <w:t xml:space="preserve">                                              </w:t>
      </w:r>
    </w:p>
    <w:p w:rsidR="0080634F" w:rsidRDefault="0080634F" w:rsidP="0080634F">
      <w:pPr>
        <w:rPr>
          <w:b/>
          <w:bCs/>
          <w:sz w:val="32"/>
          <w:szCs w:val="32"/>
        </w:rPr>
      </w:pPr>
      <w:r>
        <w:rPr>
          <w:b/>
          <w:bCs/>
          <w:sz w:val="32"/>
          <w:szCs w:val="32"/>
        </w:rPr>
        <w:t xml:space="preserve">                                                *</w:t>
      </w:r>
      <w:r w:rsidRPr="0080634F">
        <w:rPr>
          <w:b/>
          <w:bCs/>
          <w:sz w:val="32"/>
          <w:szCs w:val="32"/>
        </w:rPr>
        <w:t>DISCLAIMER</w:t>
      </w:r>
      <w:r>
        <w:rPr>
          <w:b/>
          <w:bCs/>
          <w:sz w:val="32"/>
          <w:szCs w:val="32"/>
        </w:rPr>
        <w:t>*</w:t>
      </w:r>
    </w:p>
    <w:p w:rsidR="0080634F" w:rsidRPr="0080634F" w:rsidRDefault="0080634F" w:rsidP="0080634F">
      <w:pPr>
        <w:jc w:val="center"/>
        <w:rPr>
          <w:sz w:val="28"/>
          <w:szCs w:val="28"/>
        </w:rPr>
      </w:pPr>
      <w:r w:rsidRPr="0080634F">
        <w:rPr>
          <w:sz w:val="28"/>
          <w:szCs w:val="28"/>
        </w:rPr>
        <w:t>This report has been prepared solely for educational, academic, and internship purposes using publicly available information, including publications issued by the Reserve Bank of India (RBI) and other official sources. The analysis, observations, and interpretations presented in this report are based on secondary research and should not be considered as financial, investment, legal, or professional advice.</w:t>
      </w:r>
    </w:p>
    <w:p w:rsidR="0080634F" w:rsidRPr="0080634F" w:rsidRDefault="0080634F" w:rsidP="0080634F">
      <w:pPr>
        <w:jc w:val="center"/>
        <w:rPr>
          <w:sz w:val="28"/>
          <w:szCs w:val="28"/>
        </w:rPr>
      </w:pPr>
      <w:r w:rsidRPr="0080634F">
        <w:rPr>
          <w:sz w:val="28"/>
          <w:szCs w:val="28"/>
        </w:rPr>
        <w:lastRenderedPageBreak/>
        <w:t>The report does not constitute any recommendation, solicitation, or offer to buy or sell securities or financial instruments. Readers are advised to conduct their own independent research and consult professional advisors before making financial or investment decisions.</w:t>
      </w:r>
    </w:p>
    <w:p w:rsidR="0080634F" w:rsidRPr="0080634F" w:rsidRDefault="0080634F" w:rsidP="0080634F">
      <w:pPr>
        <w:jc w:val="center"/>
        <w:rPr>
          <w:sz w:val="28"/>
          <w:szCs w:val="28"/>
        </w:rPr>
      </w:pPr>
      <w:r w:rsidRPr="0080634F">
        <w:rPr>
          <w:sz w:val="28"/>
          <w:szCs w:val="28"/>
        </w:rPr>
        <w:t>While reasonable efforts have been made to ensure the accuracy of the information used in this report, no guarantee is provided regarding the completeness, reliability, or future accuracy of the data and interpretations presented. The author shall not be held responsible for any financial or business decisions taken based on this report.</w:t>
      </w:r>
    </w:p>
    <w:p w:rsidR="0080634F" w:rsidRPr="0080634F" w:rsidRDefault="0080634F" w:rsidP="0080634F">
      <w:pPr>
        <w:rPr>
          <w:b/>
          <w:bCs/>
          <w:sz w:val="32"/>
          <w:szCs w:val="32"/>
        </w:rPr>
      </w:pPr>
    </w:p>
    <w:p w:rsidR="0080634F" w:rsidRPr="00B876AA" w:rsidRDefault="0080634F" w:rsidP="0080634F">
      <w:pPr>
        <w:rPr>
          <w:sz w:val="28"/>
          <w:szCs w:val="28"/>
        </w:rPr>
      </w:pPr>
    </w:p>
    <w:p w:rsidR="00B876AA" w:rsidRPr="00B876AA" w:rsidRDefault="00B876AA" w:rsidP="00B876AA">
      <w:pPr>
        <w:rPr>
          <w:sz w:val="28"/>
          <w:szCs w:val="28"/>
        </w:rPr>
      </w:pPr>
    </w:p>
    <w:p w:rsidR="00B876AA" w:rsidRPr="00B876AA" w:rsidRDefault="00B876AA" w:rsidP="00B876AA">
      <w:pPr>
        <w:rPr>
          <w:b/>
          <w:bCs/>
          <w:sz w:val="32"/>
          <w:szCs w:val="32"/>
        </w:rPr>
      </w:pPr>
      <w:r>
        <w:rPr>
          <w:b/>
          <w:bCs/>
          <w:sz w:val="32"/>
          <w:szCs w:val="32"/>
        </w:rPr>
        <w:t xml:space="preserve"> </w:t>
      </w:r>
    </w:p>
    <w:p w:rsidR="00A60D82" w:rsidRPr="00311A71" w:rsidRDefault="00A60D82" w:rsidP="00311A71">
      <w:pPr>
        <w:rPr>
          <w:sz w:val="28"/>
          <w:szCs w:val="28"/>
        </w:rPr>
      </w:pPr>
    </w:p>
    <w:sectPr w:rsidR="00A60D82" w:rsidRPr="00311A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13D22"/>
    <w:multiLevelType w:val="multilevel"/>
    <w:tmpl w:val="0932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749DA"/>
    <w:multiLevelType w:val="hybridMultilevel"/>
    <w:tmpl w:val="117C36C6"/>
    <w:lvl w:ilvl="0" w:tplc="5BDEBD06">
      <w:start w:val="7"/>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5F186C"/>
    <w:multiLevelType w:val="hybridMultilevel"/>
    <w:tmpl w:val="32369A30"/>
    <w:lvl w:ilvl="0" w:tplc="1794D70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3BB3800"/>
    <w:multiLevelType w:val="multilevel"/>
    <w:tmpl w:val="975AE4EA"/>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1D28DB"/>
    <w:multiLevelType w:val="multilevel"/>
    <w:tmpl w:val="04BE5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32059B"/>
    <w:multiLevelType w:val="multilevel"/>
    <w:tmpl w:val="5D50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9E6FFF"/>
    <w:multiLevelType w:val="multilevel"/>
    <w:tmpl w:val="B6F8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BC59C0"/>
    <w:multiLevelType w:val="multilevel"/>
    <w:tmpl w:val="C76AC7F8"/>
    <w:lvl w:ilvl="0">
      <w:start w:val="4"/>
      <w:numFmt w:val="decimal"/>
      <w:lvlText w:val="%1.0"/>
      <w:lvlJc w:val="left"/>
      <w:pPr>
        <w:ind w:left="1696" w:hanging="420"/>
      </w:pPr>
      <w:rPr>
        <w:rFonts w:hint="default"/>
      </w:rPr>
    </w:lvl>
    <w:lvl w:ilvl="1">
      <w:start w:val="1"/>
      <w:numFmt w:val="decimal"/>
      <w:lvlText w:val="%1.%2"/>
      <w:lvlJc w:val="left"/>
      <w:pPr>
        <w:ind w:left="2416" w:hanging="420"/>
      </w:pPr>
      <w:rPr>
        <w:rFonts w:hint="default"/>
      </w:rPr>
    </w:lvl>
    <w:lvl w:ilvl="2">
      <w:start w:val="1"/>
      <w:numFmt w:val="decimal"/>
      <w:lvlText w:val="%1.%2.%3"/>
      <w:lvlJc w:val="left"/>
      <w:pPr>
        <w:ind w:left="3436" w:hanging="720"/>
      </w:pPr>
      <w:rPr>
        <w:rFonts w:hint="default"/>
      </w:rPr>
    </w:lvl>
    <w:lvl w:ilvl="3">
      <w:start w:val="1"/>
      <w:numFmt w:val="decimal"/>
      <w:lvlText w:val="%1.%2.%3.%4"/>
      <w:lvlJc w:val="left"/>
      <w:pPr>
        <w:ind w:left="4516" w:hanging="1080"/>
      </w:pPr>
      <w:rPr>
        <w:rFonts w:hint="default"/>
      </w:rPr>
    </w:lvl>
    <w:lvl w:ilvl="4">
      <w:start w:val="1"/>
      <w:numFmt w:val="decimal"/>
      <w:lvlText w:val="%1.%2.%3.%4.%5"/>
      <w:lvlJc w:val="left"/>
      <w:pPr>
        <w:ind w:left="5236" w:hanging="1080"/>
      </w:pPr>
      <w:rPr>
        <w:rFonts w:hint="default"/>
      </w:rPr>
    </w:lvl>
    <w:lvl w:ilvl="5">
      <w:start w:val="1"/>
      <w:numFmt w:val="decimal"/>
      <w:lvlText w:val="%1.%2.%3.%4.%5.%6"/>
      <w:lvlJc w:val="left"/>
      <w:pPr>
        <w:ind w:left="6316" w:hanging="1440"/>
      </w:pPr>
      <w:rPr>
        <w:rFonts w:hint="default"/>
      </w:rPr>
    </w:lvl>
    <w:lvl w:ilvl="6">
      <w:start w:val="1"/>
      <w:numFmt w:val="decimal"/>
      <w:lvlText w:val="%1.%2.%3.%4.%5.%6.%7"/>
      <w:lvlJc w:val="left"/>
      <w:pPr>
        <w:ind w:left="7036" w:hanging="1440"/>
      </w:pPr>
      <w:rPr>
        <w:rFonts w:hint="default"/>
      </w:rPr>
    </w:lvl>
    <w:lvl w:ilvl="7">
      <w:start w:val="1"/>
      <w:numFmt w:val="decimal"/>
      <w:lvlText w:val="%1.%2.%3.%4.%5.%6.%7.%8"/>
      <w:lvlJc w:val="left"/>
      <w:pPr>
        <w:ind w:left="8116" w:hanging="1800"/>
      </w:pPr>
      <w:rPr>
        <w:rFonts w:hint="default"/>
      </w:rPr>
    </w:lvl>
    <w:lvl w:ilvl="8">
      <w:start w:val="1"/>
      <w:numFmt w:val="decimal"/>
      <w:lvlText w:val="%1.%2.%3.%4.%5.%6.%7.%8.%9"/>
      <w:lvlJc w:val="left"/>
      <w:pPr>
        <w:ind w:left="9196" w:hanging="2160"/>
      </w:pPr>
      <w:rPr>
        <w:rFonts w:hint="default"/>
      </w:rPr>
    </w:lvl>
  </w:abstractNum>
  <w:abstractNum w:abstractNumId="8" w15:restartNumberingAfterBreak="0">
    <w:nsid w:val="5D346FA7"/>
    <w:multiLevelType w:val="multilevel"/>
    <w:tmpl w:val="50D4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78030D"/>
    <w:multiLevelType w:val="hybridMultilevel"/>
    <w:tmpl w:val="7A548FC6"/>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E8F410D"/>
    <w:multiLevelType w:val="hybridMultilevel"/>
    <w:tmpl w:val="F788A150"/>
    <w:lvl w:ilvl="0" w:tplc="B06A5CC8">
      <w:start w:val="1"/>
      <w:numFmt w:val="upperLetter"/>
      <w:lvlText w:val="%1."/>
      <w:lvlJc w:val="left"/>
      <w:pPr>
        <w:ind w:left="720" w:hanging="360"/>
      </w:pPr>
      <w:rPr>
        <w:rFonts w:hint="default"/>
        <w:b w:val="0"/>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79A11CE"/>
    <w:multiLevelType w:val="multilevel"/>
    <w:tmpl w:val="8442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3"/>
  </w:num>
  <w:num w:numId="4">
    <w:abstractNumId w:val="8"/>
  </w:num>
  <w:num w:numId="5">
    <w:abstractNumId w:val="4"/>
  </w:num>
  <w:num w:numId="6">
    <w:abstractNumId w:val="0"/>
  </w:num>
  <w:num w:numId="7">
    <w:abstractNumId w:val="11"/>
  </w:num>
  <w:num w:numId="8">
    <w:abstractNumId w:val="5"/>
  </w:num>
  <w:num w:numId="9">
    <w:abstractNumId w:val="6"/>
  </w:num>
  <w:num w:numId="10">
    <w:abstractNumId w:val="7"/>
  </w:num>
  <w:num w:numId="11">
    <w:abstractNumId w:val="9"/>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E85"/>
    <w:rsid w:val="0001023D"/>
    <w:rsid w:val="000135E6"/>
    <w:rsid w:val="00044C03"/>
    <w:rsid w:val="00050721"/>
    <w:rsid w:val="000B088B"/>
    <w:rsid w:val="0017264C"/>
    <w:rsid w:val="001D153A"/>
    <w:rsid w:val="002025F3"/>
    <w:rsid w:val="00311A71"/>
    <w:rsid w:val="003166D8"/>
    <w:rsid w:val="0033783E"/>
    <w:rsid w:val="00380640"/>
    <w:rsid w:val="003A58BE"/>
    <w:rsid w:val="003D1F2B"/>
    <w:rsid w:val="004017A1"/>
    <w:rsid w:val="00433573"/>
    <w:rsid w:val="004406C3"/>
    <w:rsid w:val="004B57AA"/>
    <w:rsid w:val="004C0764"/>
    <w:rsid w:val="00552017"/>
    <w:rsid w:val="00636164"/>
    <w:rsid w:val="00687A72"/>
    <w:rsid w:val="0080634F"/>
    <w:rsid w:val="008577B2"/>
    <w:rsid w:val="008D5E85"/>
    <w:rsid w:val="008E1E9D"/>
    <w:rsid w:val="009A5538"/>
    <w:rsid w:val="009D3540"/>
    <w:rsid w:val="009E0464"/>
    <w:rsid w:val="00A36C58"/>
    <w:rsid w:val="00A41AC3"/>
    <w:rsid w:val="00A60D82"/>
    <w:rsid w:val="00A752B5"/>
    <w:rsid w:val="00AA7C28"/>
    <w:rsid w:val="00AD17EB"/>
    <w:rsid w:val="00B71000"/>
    <w:rsid w:val="00B876AA"/>
    <w:rsid w:val="00C52155"/>
    <w:rsid w:val="00C63393"/>
    <w:rsid w:val="00C868E6"/>
    <w:rsid w:val="00C91793"/>
    <w:rsid w:val="00D8151A"/>
    <w:rsid w:val="00D84842"/>
    <w:rsid w:val="00E54853"/>
    <w:rsid w:val="00E81402"/>
    <w:rsid w:val="00F564D2"/>
    <w:rsid w:val="00FB2811"/>
    <w:rsid w:val="00FC61E7"/>
    <w:rsid w:val="00FE1E4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4F6C9"/>
  <w15:chartTrackingRefBased/>
  <w15:docId w15:val="{FD8DA2BB-80FD-4519-8ACF-8DCF7C834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5E85"/>
  </w:style>
  <w:style w:type="paragraph" w:styleId="Heading1">
    <w:name w:val="heading 1"/>
    <w:basedOn w:val="Normal"/>
    <w:link w:val="Heading1Char"/>
    <w:uiPriority w:val="9"/>
    <w:qFormat/>
    <w:rsid w:val="00F564D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next w:val="Normal"/>
    <w:link w:val="Heading2Char"/>
    <w:uiPriority w:val="9"/>
    <w:semiHidden/>
    <w:unhideWhenUsed/>
    <w:qFormat/>
    <w:rsid w:val="00E8140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60D8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1000"/>
    <w:pPr>
      <w:ind w:left="720"/>
      <w:contextualSpacing/>
    </w:pPr>
  </w:style>
  <w:style w:type="character" w:customStyle="1" w:styleId="Heading1Char">
    <w:name w:val="Heading 1 Char"/>
    <w:basedOn w:val="DefaultParagraphFont"/>
    <w:link w:val="Heading1"/>
    <w:uiPriority w:val="9"/>
    <w:rsid w:val="00F564D2"/>
    <w:rPr>
      <w:rFonts w:ascii="Times New Roman" w:eastAsia="Times New Roman" w:hAnsi="Times New Roman" w:cs="Times New Roman"/>
      <w:b/>
      <w:bCs/>
      <w:kern w:val="36"/>
      <w:sz w:val="48"/>
      <w:szCs w:val="48"/>
      <w:lang w:eastAsia="en-IN" w:bidi="hi-IN"/>
    </w:rPr>
  </w:style>
  <w:style w:type="character" w:styleId="Strong">
    <w:name w:val="Strong"/>
    <w:basedOn w:val="DefaultParagraphFont"/>
    <w:uiPriority w:val="22"/>
    <w:qFormat/>
    <w:rsid w:val="004B57AA"/>
    <w:rPr>
      <w:b/>
      <w:bCs/>
    </w:rPr>
  </w:style>
  <w:style w:type="character" w:customStyle="1" w:styleId="Heading3Char">
    <w:name w:val="Heading 3 Char"/>
    <w:basedOn w:val="DefaultParagraphFont"/>
    <w:link w:val="Heading3"/>
    <w:uiPriority w:val="9"/>
    <w:semiHidden/>
    <w:rsid w:val="00A60D82"/>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E81402"/>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1D153A"/>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00869">
      <w:bodyDiv w:val="1"/>
      <w:marLeft w:val="0"/>
      <w:marRight w:val="0"/>
      <w:marTop w:val="0"/>
      <w:marBottom w:val="0"/>
      <w:divBdr>
        <w:top w:val="none" w:sz="0" w:space="0" w:color="auto"/>
        <w:left w:val="none" w:sz="0" w:space="0" w:color="auto"/>
        <w:bottom w:val="none" w:sz="0" w:space="0" w:color="auto"/>
        <w:right w:val="none" w:sz="0" w:space="0" w:color="auto"/>
      </w:divBdr>
    </w:div>
    <w:div w:id="58019582">
      <w:bodyDiv w:val="1"/>
      <w:marLeft w:val="0"/>
      <w:marRight w:val="0"/>
      <w:marTop w:val="0"/>
      <w:marBottom w:val="0"/>
      <w:divBdr>
        <w:top w:val="none" w:sz="0" w:space="0" w:color="auto"/>
        <w:left w:val="none" w:sz="0" w:space="0" w:color="auto"/>
        <w:bottom w:val="none" w:sz="0" w:space="0" w:color="auto"/>
        <w:right w:val="none" w:sz="0" w:space="0" w:color="auto"/>
      </w:divBdr>
    </w:div>
    <w:div w:id="72822446">
      <w:bodyDiv w:val="1"/>
      <w:marLeft w:val="0"/>
      <w:marRight w:val="0"/>
      <w:marTop w:val="0"/>
      <w:marBottom w:val="0"/>
      <w:divBdr>
        <w:top w:val="none" w:sz="0" w:space="0" w:color="auto"/>
        <w:left w:val="none" w:sz="0" w:space="0" w:color="auto"/>
        <w:bottom w:val="none" w:sz="0" w:space="0" w:color="auto"/>
        <w:right w:val="none" w:sz="0" w:space="0" w:color="auto"/>
      </w:divBdr>
      <w:divsChild>
        <w:div w:id="870341866">
          <w:marLeft w:val="0"/>
          <w:marRight w:val="0"/>
          <w:marTop w:val="0"/>
          <w:marBottom w:val="0"/>
          <w:divBdr>
            <w:top w:val="none" w:sz="0" w:space="0" w:color="auto"/>
            <w:left w:val="none" w:sz="0" w:space="0" w:color="auto"/>
            <w:bottom w:val="none" w:sz="0" w:space="0" w:color="auto"/>
            <w:right w:val="none" w:sz="0" w:space="0" w:color="auto"/>
          </w:divBdr>
        </w:div>
      </w:divsChild>
    </w:div>
    <w:div w:id="109250935">
      <w:bodyDiv w:val="1"/>
      <w:marLeft w:val="0"/>
      <w:marRight w:val="0"/>
      <w:marTop w:val="0"/>
      <w:marBottom w:val="0"/>
      <w:divBdr>
        <w:top w:val="none" w:sz="0" w:space="0" w:color="auto"/>
        <w:left w:val="none" w:sz="0" w:space="0" w:color="auto"/>
        <w:bottom w:val="none" w:sz="0" w:space="0" w:color="auto"/>
        <w:right w:val="none" w:sz="0" w:space="0" w:color="auto"/>
      </w:divBdr>
    </w:div>
    <w:div w:id="163135886">
      <w:bodyDiv w:val="1"/>
      <w:marLeft w:val="0"/>
      <w:marRight w:val="0"/>
      <w:marTop w:val="0"/>
      <w:marBottom w:val="0"/>
      <w:divBdr>
        <w:top w:val="none" w:sz="0" w:space="0" w:color="auto"/>
        <w:left w:val="none" w:sz="0" w:space="0" w:color="auto"/>
        <w:bottom w:val="none" w:sz="0" w:space="0" w:color="auto"/>
        <w:right w:val="none" w:sz="0" w:space="0" w:color="auto"/>
      </w:divBdr>
    </w:div>
    <w:div w:id="192422213">
      <w:bodyDiv w:val="1"/>
      <w:marLeft w:val="0"/>
      <w:marRight w:val="0"/>
      <w:marTop w:val="0"/>
      <w:marBottom w:val="0"/>
      <w:divBdr>
        <w:top w:val="none" w:sz="0" w:space="0" w:color="auto"/>
        <w:left w:val="none" w:sz="0" w:space="0" w:color="auto"/>
        <w:bottom w:val="none" w:sz="0" w:space="0" w:color="auto"/>
        <w:right w:val="none" w:sz="0" w:space="0" w:color="auto"/>
      </w:divBdr>
    </w:div>
    <w:div w:id="212738000">
      <w:bodyDiv w:val="1"/>
      <w:marLeft w:val="0"/>
      <w:marRight w:val="0"/>
      <w:marTop w:val="0"/>
      <w:marBottom w:val="0"/>
      <w:divBdr>
        <w:top w:val="none" w:sz="0" w:space="0" w:color="auto"/>
        <w:left w:val="none" w:sz="0" w:space="0" w:color="auto"/>
        <w:bottom w:val="none" w:sz="0" w:space="0" w:color="auto"/>
        <w:right w:val="none" w:sz="0" w:space="0" w:color="auto"/>
      </w:divBdr>
    </w:div>
    <w:div w:id="237592448">
      <w:bodyDiv w:val="1"/>
      <w:marLeft w:val="0"/>
      <w:marRight w:val="0"/>
      <w:marTop w:val="0"/>
      <w:marBottom w:val="0"/>
      <w:divBdr>
        <w:top w:val="none" w:sz="0" w:space="0" w:color="auto"/>
        <w:left w:val="none" w:sz="0" w:space="0" w:color="auto"/>
        <w:bottom w:val="none" w:sz="0" w:space="0" w:color="auto"/>
        <w:right w:val="none" w:sz="0" w:space="0" w:color="auto"/>
      </w:divBdr>
    </w:div>
    <w:div w:id="268899396">
      <w:bodyDiv w:val="1"/>
      <w:marLeft w:val="0"/>
      <w:marRight w:val="0"/>
      <w:marTop w:val="0"/>
      <w:marBottom w:val="0"/>
      <w:divBdr>
        <w:top w:val="none" w:sz="0" w:space="0" w:color="auto"/>
        <w:left w:val="none" w:sz="0" w:space="0" w:color="auto"/>
        <w:bottom w:val="none" w:sz="0" w:space="0" w:color="auto"/>
        <w:right w:val="none" w:sz="0" w:space="0" w:color="auto"/>
      </w:divBdr>
    </w:div>
    <w:div w:id="320038837">
      <w:bodyDiv w:val="1"/>
      <w:marLeft w:val="0"/>
      <w:marRight w:val="0"/>
      <w:marTop w:val="0"/>
      <w:marBottom w:val="0"/>
      <w:divBdr>
        <w:top w:val="none" w:sz="0" w:space="0" w:color="auto"/>
        <w:left w:val="none" w:sz="0" w:space="0" w:color="auto"/>
        <w:bottom w:val="none" w:sz="0" w:space="0" w:color="auto"/>
        <w:right w:val="none" w:sz="0" w:space="0" w:color="auto"/>
      </w:divBdr>
    </w:div>
    <w:div w:id="324435404">
      <w:bodyDiv w:val="1"/>
      <w:marLeft w:val="0"/>
      <w:marRight w:val="0"/>
      <w:marTop w:val="0"/>
      <w:marBottom w:val="0"/>
      <w:divBdr>
        <w:top w:val="none" w:sz="0" w:space="0" w:color="auto"/>
        <w:left w:val="none" w:sz="0" w:space="0" w:color="auto"/>
        <w:bottom w:val="none" w:sz="0" w:space="0" w:color="auto"/>
        <w:right w:val="none" w:sz="0" w:space="0" w:color="auto"/>
      </w:divBdr>
    </w:div>
    <w:div w:id="345835381">
      <w:bodyDiv w:val="1"/>
      <w:marLeft w:val="0"/>
      <w:marRight w:val="0"/>
      <w:marTop w:val="0"/>
      <w:marBottom w:val="0"/>
      <w:divBdr>
        <w:top w:val="none" w:sz="0" w:space="0" w:color="auto"/>
        <w:left w:val="none" w:sz="0" w:space="0" w:color="auto"/>
        <w:bottom w:val="none" w:sz="0" w:space="0" w:color="auto"/>
        <w:right w:val="none" w:sz="0" w:space="0" w:color="auto"/>
      </w:divBdr>
    </w:div>
    <w:div w:id="449205816">
      <w:bodyDiv w:val="1"/>
      <w:marLeft w:val="0"/>
      <w:marRight w:val="0"/>
      <w:marTop w:val="0"/>
      <w:marBottom w:val="0"/>
      <w:divBdr>
        <w:top w:val="none" w:sz="0" w:space="0" w:color="auto"/>
        <w:left w:val="none" w:sz="0" w:space="0" w:color="auto"/>
        <w:bottom w:val="none" w:sz="0" w:space="0" w:color="auto"/>
        <w:right w:val="none" w:sz="0" w:space="0" w:color="auto"/>
      </w:divBdr>
    </w:div>
    <w:div w:id="450827828">
      <w:bodyDiv w:val="1"/>
      <w:marLeft w:val="0"/>
      <w:marRight w:val="0"/>
      <w:marTop w:val="0"/>
      <w:marBottom w:val="0"/>
      <w:divBdr>
        <w:top w:val="none" w:sz="0" w:space="0" w:color="auto"/>
        <w:left w:val="none" w:sz="0" w:space="0" w:color="auto"/>
        <w:bottom w:val="none" w:sz="0" w:space="0" w:color="auto"/>
        <w:right w:val="none" w:sz="0" w:space="0" w:color="auto"/>
      </w:divBdr>
    </w:div>
    <w:div w:id="473839132">
      <w:bodyDiv w:val="1"/>
      <w:marLeft w:val="0"/>
      <w:marRight w:val="0"/>
      <w:marTop w:val="0"/>
      <w:marBottom w:val="0"/>
      <w:divBdr>
        <w:top w:val="none" w:sz="0" w:space="0" w:color="auto"/>
        <w:left w:val="none" w:sz="0" w:space="0" w:color="auto"/>
        <w:bottom w:val="none" w:sz="0" w:space="0" w:color="auto"/>
        <w:right w:val="none" w:sz="0" w:space="0" w:color="auto"/>
      </w:divBdr>
    </w:div>
    <w:div w:id="499396999">
      <w:bodyDiv w:val="1"/>
      <w:marLeft w:val="0"/>
      <w:marRight w:val="0"/>
      <w:marTop w:val="0"/>
      <w:marBottom w:val="0"/>
      <w:divBdr>
        <w:top w:val="none" w:sz="0" w:space="0" w:color="auto"/>
        <w:left w:val="none" w:sz="0" w:space="0" w:color="auto"/>
        <w:bottom w:val="none" w:sz="0" w:space="0" w:color="auto"/>
        <w:right w:val="none" w:sz="0" w:space="0" w:color="auto"/>
      </w:divBdr>
    </w:div>
    <w:div w:id="522090897">
      <w:bodyDiv w:val="1"/>
      <w:marLeft w:val="0"/>
      <w:marRight w:val="0"/>
      <w:marTop w:val="0"/>
      <w:marBottom w:val="0"/>
      <w:divBdr>
        <w:top w:val="none" w:sz="0" w:space="0" w:color="auto"/>
        <w:left w:val="none" w:sz="0" w:space="0" w:color="auto"/>
        <w:bottom w:val="none" w:sz="0" w:space="0" w:color="auto"/>
        <w:right w:val="none" w:sz="0" w:space="0" w:color="auto"/>
      </w:divBdr>
    </w:div>
    <w:div w:id="531505424">
      <w:bodyDiv w:val="1"/>
      <w:marLeft w:val="0"/>
      <w:marRight w:val="0"/>
      <w:marTop w:val="0"/>
      <w:marBottom w:val="0"/>
      <w:divBdr>
        <w:top w:val="none" w:sz="0" w:space="0" w:color="auto"/>
        <w:left w:val="none" w:sz="0" w:space="0" w:color="auto"/>
        <w:bottom w:val="none" w:sz="0" w:space="0" w:color="auto"/>
        <w:right w:val="none" w:sz="0" w:space="0" w:color="auto"/>
      </w:divBdr>
    </w:div>
    <w:div w:id="536740853">
      <w:bodyDiv w:val="1"/>
      <w:marLeft w:val="0"/>
      <w:marRight w:val="0"/>
      <w:marTop w:val="0"/>
      <w:marBottom w:val="0"/>
      <w:divBdr>
        <w:top w:val="none" w:sz="0" w:space="0" w:color="auto"/>
        <w:left w:val="none" w:sz="0" w:space="0" w:color="auto"/>
        <w:bottom w:val="none" w:sz="0" w:space="0" w:color="auto"/>
        <w:right w:val="none" w:sz="0" w:space="0" w:color="auto"/>
      </w:divBdr>
    </w:div>
    <w:div w:id="559170323">
      <w:bodyDiv w:val="1"/>
      <w:marLeft w:val="0"/>
      <w:marRight w:val="0"/>
      <w:marTop w:val="0"/>
      <w:marBottom w:val="0"/>
      <w:divBdr>
        <w:top w:val="none" w:sz="0" w:space="0" w:color="auto"/>
        <w:left w:val="none" w:sz="0" w:space="0" w:color="auto"/>
        <w:bottom w:val="none" w:sz="0" w:space="0" w:color="auto"/>
        <w:right w:val="none" w:sz="0" w:space="0" w:color="auto"/>
      </w:divBdr>
    </w:div>
    <w:div w:id="562957982">
      <w:bodyDiv w:val="1"/>
      <w:marLeft w:val="0"/>
      <w:marRight w:val="0"/>
      <w:marTop w:val="0"/>
      <w:marBottom w:val="0"/>
      <w:divBdr>
        <w:top w:val="none" w:sz="0" w:space="0" w:color="auto"/>
        <w:left w:val="none" w:sz="0" w:space="0" w:color="auto"/>
        <w:bottom w:val="none" w:sz="0" w:space="0" w:color="auto"/>
        <w:right w:val="none" w:sz="0" w:space="0" w:color="auto"/>
      </w:divBdr>
    </w:div>
    <w:div w:id="563954364">
      <w:bodyDiv w:val="1"/>
      <w:marLeft w:val="0"/>
      <w:marRight w:val="0"/>
      <w:marTop w:val="0"/>
      <w:marBottom w:val="0"/>
      <w:divBdr>
        <w:top w:val="none" w:sz="0" w:space="0" w:color="auto"/>
        <w:left w:val="none" w:sz="0" w:space="0" w:color="auto"/>
        <w:bottom w:val="none" w:sz="0" w:space="0" w:color="auto"/>
        <w:right w:val="none" w:sz="0" w:space="0" w:color="auto"/>
      </w:divBdr>
    </w:div>
    <w:div w:id="586496724">
      <w:bodyDiv w:val="1"/>
      <w:marLeft w:val="0"/>
      <w:marRight w:val="0"/>
      <w:marTop w:val="0"/>
      <w:marBottom w:val="0"/>
      <w:divBdr>
        <w:top w:val="none" w:sz="0" w:space="0" w:color="auto"/>
        <w:left w:val="none" w:sz="0" w:space="0" w:color="auto"/>
        <w:bottom w:val="none" w:sz="0" w:space="0" w:color="auto"/>
        <w:right w:val="none" w:sz="0" w:space="0" w:color="auto"/>
      </w:divBdr>
    </w:div>
    <w:div w:id="625965093">
      <w:bodyDiv w:val="1"/>
      <w:marLeft w:val="0"/>
      <w:marRight w:val="0"/>
      <w:marTop w:val="0"/>
      <w:marBottom w:val="0"/>
      <w:divBdr>
        <w:top w:val="none" w:sz="0" w:space="0" w:color="auto"/>
        <w:left w:val="none" w:sz="0" w:space="0" w:color="auto"/>
        <w:bottom w:val="none" w:sz="0" w:space="0" w:color="auto"/>
        <w:right w:val="none" w:sz="0" w:space="0" w:color="auto"/>
      </w:divBdr>
    </w:div>
    <w:div w:id="704795504">
      <w:bodyDiv w:val="1"/>
      <w:marLeft w:val="0"/>
      <w:marRight w:val="0"/>
      <w:marTop w:val="0"/>
      <w:marBottom w:val="0"/>
      <w:divBdr>
        <w:top w:val="none" w:sz="0" w:space="0" w:color="auto"/>
        <w:left w:val="none" w:sz="0" w:space="0" w:color="auto"/>
        <w:bottom w:val="none" w:sz="0" w:space="0" w:color="auto"/>
        <w:right w:val="none" w:sz="0" w:space="0" w:color="auto"/>
      </w:divBdr>
    </w:div>
    <w:div w:id="727994883">
      <w:bodyDiv w:val="1"/>
      <w:marLeft w:val="0"/>
      <w:marRight w:val="0"/>
      <w:marTop w:val="0"/>
      <w:marBottom w:val="0"/>
      <w:divBdr>
        <w:top w:val="none" w:sz="0" w:space="0" w:color="auto"/>
        <w:left w:val="none" w:sz="0" w:space="0" w:color="auto"/>
        <w:bottom w:val="none" w:sz="0" w:space="0" w:color="auto"/>
        <w:right w:val="none" w:sz="0" w:space="0" w:color="auto"/>
      </w:divBdr>
      <w:divsChild>
        <w:div w:id="1367022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383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0443851">
      <w:bodyDiv w:val="1"/>
      <w:marLeft w:val="0"/>
      <w:marRight w:val="0"/>
      <w:marTop w:val="0"/>
      <w:marBottom w:val="0"/>
      <w:divBdr>
        <w:top w:val="none" w:sz="0" w:space="0" w:color="auto"/>
        <w:left w:val="none" w:sz="0" w:space="0" w:color="auto"/>
        <w:bottom w:val="none" w:sz="0" w:space="0" w:color="auto"/>
        <w:right w:val="none" w:sz="0" w:space="0" w:color="auto"/>
      </w:divBdr>
    </w:div>
    <w:div w:id="800419387">
      <w:bodyDiv w:val="1"/>
      <w:marLeft w:val="0"/>
      <w:marRight w:val="0"/>
      <w:marTop w:val="0"/>
      <w:marBottom w:val="0"/>
      <w:divBdr>
        <w:top w:val="none" w:sz="0" w:space="0" w:color="auto"/>
        <w:left w:val="none" w:sz="0" w:space="0" w:color="auto"/>
        <w:bottom w:val="none" w:sz="0" w:space="0" w:color="auto"/>
        <w:right w:val="none" w:sz="0" w:space="0" w:color="auto"/>
      </w:divBdr>
      <w:divsChild>
        <w:div w:id="378288533">
          <w:marLeft w:val="0"/>
          <w:marRight w:val="0"/>
          <w:marTop w:val="0"/>
          <w:marBottom w:val="0"/>
          <w:divBdr>
            <w:top w:val="none" w:sz="0" w:space="0" w:color="auto"/>
            <w:left w:val="none" w:sz="0" w:space="0" w:color="auto"/>
            <w:bottom w:val="none" w:sz="0" w:space="0" w:color="auto"/>
            <w:right w:val="none" w:sz="0" w:space="0" w:color="auto"/>
          </w:divBdr>
          <w:divsChild>
            <w:div w:id="1659072297">
              <w:marLeft w:val="0"/>
              <w:marRight w:val="0"/>
              <w:marTop w:val="0"/>
              <w:marBottom w:val="0"/>
              <w:divBdr>
                <w:top w:val="none" w:sz="0" w:space="0" w:color="auto"/>
                <w:left w:val="none" w:sz="0" w:space="0" w:color="auto"/>
                <w:bottom w:val="none" w:sz="0" w:space="0" w:color="auto"/>
                <w:right w:val="none" w:sz="0" w:space="0" w:color="auto"/>
              </w:divBdr>
              <w:divsChild>
                <w:div w:id="1272013790">
                  <w:marLeft w:val="0"/>
                  <w:marRight w:val="0"/>
                  <w:marTop w:val="0"/>
                  <w:marBottom w:val="0"/>
                  <w:divBdr>
                    <w:top w:val="none" w:sz="0" w:space="0" w:color="auto"/>
                    <w:left w:val="none" w:sz="0" w:space="0" w:color="auto"/>
                    <w:bottom w:val="none" w:sz="0" w:space="0" w:color="auto"/>
                    <w:right w:val="none" w:sz="0" w:space="0" w:color="auto"/>
                  </w:divBdr>
                  <w:divsChild>
                    <w:div w:id="79445375">
                      <w:marLeft w:val="0"/>
                      <w:marRight w:val="0"/>
                      <w:marTop w:val="0"/>
                      <w:marBottom w:val="0"/>
                      <w:divBdr>
                        <w:top w:val="none" w:sz="0" w:space="0" w:color="auto"/>
                        <w:left w:val="none" w:sz="0" w:space="0" w:color="auto"/>
                        <w:bottom w:val="none" w:sz="0" w:space="0" w:color="auto"/>
                        <w:right w:val="none" w:sz="0" w:space="0" w:color="auto"/>
                      </w:divBdr>
                      <w:divsChild>
                        <w:div w:id="1065685086">
                          <w:marLeft w:val="0"/>
                          <w:marRight w:val="0"/>
                          <w:marTop w:val="0"/>
                          <w:marBottom w:val="0"/>
                          <w:divBdr>
                            <w:top w:val="none" w:sz="0" w:space="0" w:color="auto"/>
                            <w:left w:val="none" w:sz="0" w:space="0" w:color="auto"/>
                            <w:bottom w:val="none" w:sz="0" w:space="0" w:color="auto"/>
                            <w:right w:val="none" w:sz="0" w:space="0" w:color="auto"/>
                          </w:divBdr>
                          <w:divsChild>
                            <w:div w:id="652417214">
                              <w:marLeft w:val="0"/>
                              <w:marRight w:val="0"/>
                              <w:marTop w:val="0"/>
                              <w:marBottom w:val="0"/>
                              <w:divBdr>
                                <w:top w:val="none" w:sz="0" w:space="0" w:color="auto"/>
                                <w:left w:val="none" w:sz="0" w:space="0" w:color="auto"/>
                                <w:bottom w:val="none" w:sz="0" w:space="0" w:color="auto"/>
                                <w:right w:val="none" w:sz="0" w:space="0" w:color="auto"/>
                              </w:divBdr>
                              <w:divsChild>
                                <w:div w:id="1241521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1481342">
      <w:bodyDiv w:val="1"/>
      <w:marLeft w:val="0"/>
      <w:marRight w:val="0"/>
      <w:marTop w:val="0"/>
      <w:marBottom w:val="0"/>
      <w:divBdr>
        <w:top w:val="none" w:sz="0" w:space="0" w:color="auto"/>
        <w:left w:val="none" w:sz="0" w:space="0" w:color="auto"/>
        <w:bottom w:val="none" w:sz="0" w:space="0" w:color="auto"/>
        <w:right w:val="none" w:sz="0" w:space="0" w:color="auto"/>
      </w:divBdr>
    </w:div>
    <w:div w:id="862941281">
      <w:bodyDiv w:val="1"/>
      <w:marLeft w:val="0"/>
      <w:marRight w:val="0"/>
      <w:marTop w:val="0"/>
      <w:marBottom w:val="0"/>
      <w:divBdr>
        <w:top w:val="none" w:sz="0" w:space="0" w:color="auto"/>
        <w:left w:val="none" w:sz="0" w:space="0" w:color="auto"/>
        <w:bottom w:val="none" w:sz="0" w:space="0" w:color="auto"/>
        <w:right w:val="none" w:sz="0" w:space="0" w:color="auto"/>
      </w:divBdr>
    </w:div>
    <w:div w:id="890577713">
      <w:bodyDiv w:val="1"/>
      <w:marLeft w:val="0"/>
      <w:marRight w:val="0"/>
      <w:marTop w:val="0"/>
      <w:marBottom w:val="0"/>
      <w:divBdr>
        <w:top w:val="none" w:sz="0" w:space="0" w:color="auto"/>
        <w:left w:val="none" w:sz="0" w:space="0" w:color="auto"/>
        <w:bottom w:val="none" w:sz="0" w:space="0" w:color="auto"/>
        <w:right w:val="none" w:sz="0" w:space="0" w:color="auto"/>
      </w:divBdr>
    </w:div>
    <w:div w:id="903566820">
      <w:bodyDiv w:val="1"/>
      <w:marLeft w:val="0"/>
      <w:marRight w:val="0"/>
      <w:marTop w:val="0"/>
      <w:marBottom w:val="0"/>
      <w:divBdr>
        <w:top w:val="none" w:sz="0" w:space="0" w:color="auto"/>
        <w:left w:val="none" w:sz="0" w:space="0" w:color="auto"/>
        <w:bottom w:val="none" w:sz="0" w:space="0" w:color="auto"/>
        <w:right w:val="none" w:sz="0" w:space="0" w:color="auto"/>
      </w:divBdr>
    </w:div>
    <w:div w:id="923415919">
      <w:bodyDiv w:val="1"/>
      <w:marLeft w:val="0"/>
      <w:marRight w:val="0"/>
      <w:marTop w:val="0"/>
      <w:marBottom w:val="0"/>
      <w:divBdr>
        <w:top w:val="none" w:sz="0" w:space="0" w:color="auto"/>
        <w:left w:val="none" w:sz="0" w:space="0" w:color="auto"/>
        <w:bottom w:val="none" w:sz="0" w:space="0" w:color="auto"/>
        <w:right w:val="none" w:sz="0" w:space="0" w:color="auto"/>
      </w:divBdr>
    </w:div>
    <w:div w:id="927007473">
      <w:bodyDiv w:val="1"/>
      <w:marLeft w:val="0"/>
      <w:marRight w:val="0"/>
      <w:marTop w:val="0"/>
      <w:marBottom w:val="0"/>
      <w:divBdr>
        <w:top w:val="none" w:sz="0" w:space="0" w:color="auto"/>
        <w:left w:val="none" w:sz="0" w:space="0" w:color="auto"/>
        <w:bottom w:val="none" w:sz="0" w:space="0" w:color="auto"/>
        <w:right w:val="none" w:sz="0" w:space="0" w:color="auto"/>
      </w:divBdr>
      <w:divsChild>
        <w:div w:id="1614285772">
          <w:blockQuote w:val="1"/>
          <w:marLeft w:val="720"/>
          <w:marRight w:val="720"/>
          <w:marTop w:val="100"/>
          <w:marBottom w:val="100"/>
          <w:divBdr>
            <w:top w:val="none" w:sz="0" w:space="0" w:color="auto"/>
            <w:left w:val="none" w:sz="0" w:space="0" w:color="auto"/>
            <w:bottom w:val="none" w:sz="0" w:space="0" w:color="auto"/>
            <w:right w:val="none" w:sz="0" w:space="0" w:color="auto"/>
          </w:divBdr>
        </w:div>
        <w:div w:id="971788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3130483">
      <w:bodyDiv w:val="1"/>
      <w:marLeft w:val="0"/>
      <w:marRight w:val="0"/>
      <w:marTop w:val="0"/>
      <w:marBottom w:val="0"/>
      <w:divBdr>
        <w:top w:val="none" w:sz="0" w:space="0" w:color="auto"/>
        <w:left w:val="none" w:sz="0" w:space="0" w:color="auto"/>
        <w:bottom w:val="none" w:sz="0" w:space="0" w:color="auto"/>
        <w:right w:val="none" w:sz="0" w:space="0" w:color="auto"/>
      </w:divBdr>
    </w:div>
    <w:div w:id="942493934">
      <w:bodyDiv w:val="1"/>
      <w:marLeft w:val="0"/>
      <w:marRight w:val="0"/>
      <w:marTop w:val="0"/>
      <w:marBottom w:val="0"/>
      <w:divBdr>
        <w:top w:val="none" w:sz="0" w:space="0" w:color="auto"/>
        <w:left w:val="none" w:sz="0" w:space="0" w:color="auto"/>
        <w:bottom w:val="none" w:sz="0" w:space="0" w:color="auto"/>
        <w:right w:val="none" w:sz="0" w:space="0" w:color="auto"/>
      </w:divBdr>
    </w:div>
    <w:div w:id="1025905092">
      <w:bodyDiv w:val="1"/>
      <w:marLeft w:val="0"/>
      <w:marRight w:val="0"/>
      <w:marTop w:val="0"/>
      <w:marBottom w:val="0"/>
      <w:divBdr>
        <w:top w:val="none" w:sz="0" w:space="0" w:color="auto"/>
        <w:left w:val="none" w:sz="0" w:space="0" w:color="auto"/>
        <w:bottom w:val="none" w:sz="0" w:space="0" w:color="auto"/>
        <w:right w:val="none" w:sz="0" w:space="0" w:color="auto"/>
      </w:divBdr>
    </w:div>
    <w:div w:id="1039672967">
      <w:bodyDiv w:val="1"/>
      <w:marLeft w:val="0"/>
      <w:marRight w:val="0"/>
      <w:marTop w:val="0"/>
      <w:marBottom w:val="0"/>
      <w:divBdr>
        <w:top w:val="none" w:sz="0" w:space="0" w:color="auto"/>
        <w:left w:val="none" w:sz="0" w:space="0" w:color="auto"/>
        <w:bottom w:val="none" w:sz="0" w:space="0" w:color="auto"/>
        <w:right w:val="none" w:sz="0" w:space="0" w:color="auto"/>
      </w:divBdr>
    </w:div>
    <w:div w:id="1059552365">
      <w:bodyDiv w:val="1"/>
      <w:marLeft w:val="0"/>
      <w:marRight w:val="0"/>
      <w:marTop w:val="0"/>
      <w:marBottom w:val="0"/>
      <w:divBdr>
        <w:top w:val="none" w:sz="0" w:space="0" w:color="auto"/>
        <w:left w:val="none" w:sz="0" w:space="0" w:color="auto"/>
        <w:bottom w:val="none" w:sz="0" w:space="0" w:color="auto"/>
        <w:right w:val="none" w:sz="0" w:space="0" w:color="auto"/>
      </w:divBdr>
    </w:div>
    <w:div w:id="1099760363">
      <w:bodyDiv w:val="1"/>
      <w:marLeft w:val="0"/>
      <w:marRight w:val="0"/>
      <w:marTop w:val="0"/>
      <w:marBottom w:val="0"/>
      <w:divBdr>
        <w:top w:val="none" w:sz="0" w:space="0" w:color="auto"/>
        <w:left w:val="none" w:sz="0" w:space="0" w:color="auto"/>
        <w:bottom w:val="none" w:sz="0" w:space="0" w:color="auto"/>
        <w:right w:val="none" w:sz="0" w:space="0" w:color="auto"/>
      </w:divBdr>
    </w:div>
    <w:div w:id="1194659107">
      <w:bodyDiv w:val="1"/>
      <w:marLeft w:val="0"/>
      <w:marRight w:val="0"/>
      <w:marTop w:val="0"/>
      <w:marBottom w:val="0"/>
      <w:divBdr>
        <w:top w:val="none" w:sz="0" w:space="0" w:color="auto"/>
        <w:left w:val="none" w:sz="0" w:space="0" w:color="auto"/>
        <w:bottom w:val="none" w:sz="0" w:space="0" w:color="auto"/>
        <w:right w:val="none" w:sz="0" w:space="0" w:color="auto"/>
      </w:divBdr>
    </w:div>
    <w:div w:id="1202666294">
      <w:bodyDiv w:val="1"/>
      <w:marLeft w:val="0"/>
      <w:marRight w:val="0"/>
      <w:marTop w:val="0"/>
      <w:marBottom w:val="0"/>
      <w:divBdr>
        <w:top w:val="none" w:sz="0" w:space="0" w:color="auto"/>
        <w:left w:val="none" w:sz="0" w:space="0" w:color="auto"/>
        <w:bottom w:val="none" w:sz="0" w:space="0" w:color="auto"/>
        <w:right w:val="none" w:sz="0" w:space="0" w:color="auto"/>
      </w:divBdr>
    </w:div>
    <w:div w:id="1276790556">
      <w:bodyDiv w:val="1"/>
      <w:marLeft w:val="0"/>
      <w:marRight w:val="0"/>
      <w:marTop w:val="0"/>
      <w:marBottom w:val="0"/>
      <w:divBdr>
        <w:top w:val="none" w:sz="0" w:space="0" w:color="auto"/>
        <w:left w:val="none" w:sz="0" w:space="0" w:color="auto"/>
        <w:bottom w:val="none" w:sz="0" w:space="0" w:color="auto"/>
        <w:right w:val="none" w:sz="0" w:space="0" w:color="auto"/>
      </w:divBdr>
    </w:div>
    <w:div w:id="1281915508">
      <w:bodyDiv w:val="1"/>
      <w:marLeft w:val="0"/>
      <w:marRight w:val="0"/>
      <w:marTop w:val="0"/>
      <w:marBottom w:val="0"/>
      <w:divBdr>
        <w:top w:val="none" w:sz="0" w:space="0" w:color="auto"/>
        <w:left w:val="none" w:sz="0" w:space="0" w:color="auto"/>
        <w:bottom w:val="none" w:sz="0" w:space="0" w:color="auto"/>
        <w:right w:val="none" w:sz="0" w:space="0" w:color="auto"/>
      </w:divBdr>
    </w:div>
    <w:div w:id="1295139683">
      <w:bodyDiv w:val="1"/>
      <w:marLeft w:val="0"/>
      <w:marRight w:val="0"/>
      <w:marTop w:val="0"/>
      <w:marBottom w:val="0"/>
      <w:divBdr>
        <w:top w:val="none" w:sz="0" w:space="0" w:color="auto"/>
        <w:left w:val="none" w:sz="0" w:space="0" w:color="auto"/>
        <w:bottom w:val="none" w:sz="0" w:space="0" w:color="auto"/>
        <w:right w:val="none" w:sz="0" w:space="0" w:color="auto"/>
      </w:divBdr>
    </w:div>
    <w:div w:id="1314262663">
      <w:bodyDiv w:val="1"/>
      <w:marLeft w:val="0"/>
      <w:marRight w:val="0"/>
      <w:marTop w:val="0"/>
      <w:marBottom w:val="0"/>
      <w:divBdr>
        <w:top w:val="none" w:sz="0" w:space="0" w:color="auto"/>
        <w:left w:val="none" w:sz="0" w:space="0" w:color="auto"/>
        <w:bottom w:val="none" w:sz="0" w:space="0" w:color="auto"/>
        <w:right w:val="none" w:sz="0" w:space="0" w:color="auto"/>
      </w:divBdr>
    </w:div>
    <w:div w:id="1326326772">
      <w:bodyDiv w:val="1"/>
      <w:marLeft w:val="0"/>
      <w:marRight w:val="0"/>
      <w:marTop w:val="0"/>
      <w:marBottom w:val="0"/>
      <w:divBdr>
        <w:top w:val="none" w:sz="0" w:space="0" w:color="auto"/>
        <w:left w:val="none" w:sz="0" w:space="0" w:color="auto"/>
        <w:bottom w:val="none" w:sz="0" w:space="0" w:color="auto"/>
        <w:right w:val="none" w:sz="0" w:space="0" w:color="auto"/>
      </w:divBdr>
    </w:div>
    <w:div w:id="1445030621">
      <w:bodyDiv w:val="1"/>
      <w:marLeft w:val="0"/>
      <w:marRight w:val="0"/>
      <w:marTop w:val="0"/>
      <w:marBottom w:val="0"/>
      <w:divBdr>
        <w:top w:val="none" w:sz="0" w:space="0" w:color="auto"/>
        <w:left w:val="none" w:sz="0" w:space="0" w:color="auto"/>
        <w:bottom w:val="none" w:sz="0" w:space="0" w:color="auto"/>
        <w:right w:val="none" w:sz="0" w:space="0" w:color="auto"/>
      </w:divBdr>
    </w:div>
    <w:div w:id="1450667071">
      <w:bodyDiv w:val="1"/>
      <w:marLeft w:val="0"/>
      <w:marRight w:val="0"/>
      <w:marTop w:val="0"/>
      <w:marBottom w:val="0"/>
      <w:divBdr>
        <w:top w:val="none" w:sz="0" w:space="0" w:color="auto"/>
        <w:left w:val="none" w:sz="0" w:space="0" w:color="auto"/>
        <w:bottom w:val="none" w:sz="0" w:space="0" w:color="auto"/>
        <w:right w:val="none" w:sz="0" w:space="0" w:color="auto"/>
      </w:divBdr>
    </w:div>
    <w:div w:id="1526213005">
      <w:bodyDiv w:val="1"/>
      <w:marLeft w:val="0"/>
      <w:marRight w:val="0"/>
      <w:marTop w:val="0"/>
      <w:marBottom w:val="0"/>
      <w:divBdr>
        <w:top w:val="none" w:sz="0" w:space="0" w:color="auto"/>
        <w:left w:val="none" w:sz="0" w:space="0" w:color="auto"/>
        <w:bottom w:val="none" w:sz="0" w:space="0" w:color="auto"/>
        <w:right w:val="none" w:sz="0" w:space="0" w:color="auto"/>
      </w:divBdr>
    </w:div>
    <w:div w:id="1538666135">
      <w:bodyDiv w:val="1"/>
      <w:marLeft w:val="0"/>
      <w:marRight w:val="0"/>
      <w:marTop w:val="0"/>
      <w:marBottom w:val="0"/>
      <w:divBdr>
        <w:top w:val="none" w:sz="0" w:space="0" w:color="auto"/>
        <w:left w:val="none" w:sz="0" w:space="0" w:color="auto"/>
        <w:bottom w:val="none" w:sz="0" w:space="0" w:color="auto"/>
        <w:right w:val="none" w:sz="0" w:space="0" w:color="auto"/>
      </w:divBdr>
    </w:div>
    <w:div w:id="1581212517">
      <w:bodyDiv w:val="1"/>
      <w:marLeft w:val="0"/>
      <w:marRight w:val="0"/>
      <w:marTop w:val="0"/>
      <w:marBottom w:val="0"/>
      <w:divBdr>
        <w:top w:val="none" w:sz="0" w:space="0" w:color="auto"/>
        <w:left w:val="none" w:sz="0" w:space="0" w:color="auto"/>
        <w:bottom w:val="none" w:sz="0" w:space="0" w:color="auto"/>
        <w:right w:val="none" w:sz="0" w:space="0" w:color="auto"/>
      </w:divBdr>
    </w:div>
    <w:div w:id="1610041934">
      <w:bodyDiv w:val="1"/>
      <w:marLeft w:val="0"/>
      <w:marRight w:val="0"/>
      <w:marTop w:val="0"/>
      <w:marBottom w:val="0"/>
      <w:divBdr>
        <w:top w:val="none" w:sz="0" w:space="0" w:color="auto"/>
        <w:left w:val="none" w:sz="0" w:space="0" w:color="auto"/>
        <w:bottom w:val="none" w:sz="0" w:space="0" w:color="auto"/>
        <w:right w:val="none" w:sz="0" w:space="0" w:color="auto"/>
      </w:divBdr>
    </w:div>
    <w:div w:id="1611621505">
      <w:bodyDiv w:val="1"/>
      <w:marLeft w:val="0"/>
      <w:marRight w:val="0"/>
      <w:marTop w:val="0"/>
      <w:marBottom w:val="0"/>
      <w:divBdr>
        <w:top w:val="none" w:sz="0" w:space="0" w:color="auto"/>
        <w:left w:val="none" w:sz="0" w:space="0" w:color="auto"/>
        <w:bottom w:val="none" w:sz="0" w:space="0" w:color="auto"/>
        <w:right w:val="none" w:sz="0" w:space="0" w:color="auto"/>
      </w:divBdr>
    </w:div>
    <w:div w:id="1682972545">
      <w:bodyDiv w:val="1"/>
      <w:marLeft w:val="0"/>
      <w:marRight w:val="0"/>
      <w:marTop w:val="0"/>
      <w:marBottom w:val="0"/>
      <w:divBdr>
        <w:top w:val="none" w:sz="0" w:space="0" w:color="auto"/>
        <w:left w:val="none" w:sz="0" w:space="0" w:color="auto"/>
        <w:bottom w:val="none" w:sz="0" w:space="0" w:color="auto"/>
        <w:right w:val="none" w:sz="0" w:space="0" w:color="auto"/>
      </w:divBdr>
    </w:div>
    <w:div w:id="1686202021">
      <w:bodyDiv w:val="1"/>
      <w:marLeft w:val="0"/>
      <w:marRight w:val="0"/>
      <w:marTop w:val="0"/>
      <w:marBottom w:val="0"/>
      <w:divBdr>
        <w:top w:val="none" w:sz="0" w:space="0" w:color="auto"/>
        <w:left w:val="none" w:sz="0" w:space="0" w:color="auto"/>
        <w:bottom w:val="none" w:sz="0" w:space="0" w:color="auto"/>
        <w:right w:val="none" w:sz="0" w:space="0" w:color="auto"/>
      </w:divBdr>
    </w:div>
    <w:div w:id="1716850613">
      <w:bodyDiv w:val="1"/>
      <w:marLeft w:val="0"/>
      <w:marRight w:val="0"/>
      <w:marTop w:val="0"/>
      <w:marBottom w:val="0"/>
      <w:divBdr>
        <w:top w:val="none" w:sz="0" w:space="0" w:color="auto"/>
        <w:left w:val="none" w:sz="0" w:space="0" w:color="auto"/>
        <w:bottom w:val="none" w:sz="0" w:space="0" w:color="auto"/>
        <w:right w:val="none" w:sz="0" w:space="0" w:color="auto"/>
      </w:divBdr>
    </w:div>
    <w:div w:id="1758162970">
      <w:bodyDiv w:val="1"/>
      <w:marLeft w:val="0"/>
      <w:marRight w:val="0"/>
      <w:marTop w:val="0"/>
      <w:marBottom w:val="0"/>
      <w:divBdr>
        <w:top w:val="none" w:sz="0" w:space="0" w:color="auto"/>
        <w:left w:val="none" w:sz="0" w:space="0" w:color="auto"/>
        <w:bottom w:val="none" w:sz="0" w:space="0" w:color="auto"/>
        <w:right w:val="none" w:sz="0" w:space="0" w:color="auto"/>
      </w:divBdr>
    </w:div>
    <w:div w:id="1776443291">
      <w:bodyDiv w:val="1"/>
      <w:marLeft w:val="0"/>
      <w:marRight w:val="0"/>
      <w:marTop w:val="0"/>
      <w:marBottom w:val="0"/>
      <w:divBdr>
        <w:top w:val="none" w:sz="0" w:space="0" w:color="auto"/>
        <w:left w:val="none" w:sz="0" w:space="0" w:color="auto"/>
        <w:bottom w:val="none" w:sz="0" w:space="0" w:color="auto"/>
        <w:right w:val="none" w:sz="0" w:space="0" w:color="auto"/>
      </w:divBdr>
    </w:div>
    <w:div w:id="1791432660">
      <w:bodyDiv w:val="1"/>
      <w:marLeft w:val="0"/>
      <w:marRight w:val="0"/>
      <w:marTop w:val="0"/>
      <w:marBottom w:val="0"/>
      <w:divBdr>
        <w:top w:val="none" w:sz="0" w:space="0" w:color="auto"/>
        <w:left w:val="none" w:sz="0" w:space="0" w:color="auto"/>
        <w:bottom w:val="none" w:sz="0" w:space="0" w:color="auto"/>
        <w:right w:val="none" w:sz="0" w:space="0" w:color="auto"/>
      </w:divBdr>
      <w:divsChild>
        <w:div w:id="1803886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4515158">
      <w:bodyDiv w:val="1"/>
      <w:marLeft w:val="0"/>
      <w:marRight w:val="0"/>
      <w:marTop w:val="0"/>
      <w:marBottom w:val="0"/>
      <w:divBdr>
        <w:top w:val="none" w:sz="0" w:space="0" w:color="auto"/>
        <w:left w:val="none" w:sz="0" w:space="0" w:color="auto"/>
        <w:bottom w:val="none" w:sz="0" w:space="0" w:color="auto"/>
        <w:right w:val="none" w:sz="0" w:space="0" w:color="auto"/>
      </w:divBdr>
    </w:div>
    <w:div w:id="1816138955">
      <w:bodyDiv w:val="1"/>
      <w:marLeft w:val="0"/>
      <w:marRight w:val="0"/>
      <w:marTop w:val="0"/>
      <w:marBottom w:val="0"/>
      <w:divBdr>
        <w:top w:val="none" w:sz="0" w:space="0" w:color="auto"/>
        <w:left w:val="none" w:sz="0" w:space="0" w:color="auto"/>
        <w:bottom w:val="none" w:sz="0" w:space="0" w:color="auto"/>
        <w:right w:val="none" w:sz="0" w:space="0" w:color="auto"/>
      </w:divBdr>
    </w:div>
    <w:div w:id="1831827551">
      <w:bodyDiv w:val="1"/>
      <w:marLeft w:val="0"/>
      <w:marRight w:val="0"/>
      <w:marTop w:val="0"/>
      <w:marBottom w:val="0"/>
      <w:divBdr>
        <w:top w:val="none" w:sz="0" w:space="0" w:color="auto"/>
        <w:left w:val="none" w:sz="0" w:space="0" w:color="auto"/>
        <w:bottom w:val="none" w:sz="0" w:space="0" w:color="auto"/>
        <w:right w:val="none" w:sz="0" w:space="0" w:color="auto"/>
      </w:divBdr>
    </w:div>
    <w:div w:id="1857572458">
      <w:bodyDiv w:val="1"/>
      <w:marLeft w:val="0"/>
      <w:marRight w:val="0"/>
      <w:marTop w:val="0"/>
      <w:marBottom w:val="0"/>
      <w:divBdr>
        <w:top w:val="none" w:sz="0" w:space="0" w:color="auto"/>
        <w:left w:val="none" w:sz="0" w:space="0" w:color="auto"/>
        <w:bottom w:val="none" w:sz="0" w:space="0" w:color="auto"/>
        <w:right w:val="none" w:sz="0" w:space="0" w:color="auto"/>
      </w:divBdr>
    </w:div>
    <w:div w:id="1933658745">
      <w:bodyDiv w:val="1"/>
      <w:marLeft w:val="0"/>
      <w:marRight w:val="0"/>
      <w:marTop w:val="0"/>
      <w:marBottom w:val="0"/>
      <w:divBdr>
        <w:top w:val="none" w:sz="0" w:space="0" w:color="auto"/>
        <w:left w:val="none" w:sz="0" w:space="0" w:color="auto"/>
        <w:bottom w:val="none" w:sz="0" w:space="0" w:color="auto"/>
        <w:right w:val="none" w:sz="0" w:space="0" w:color="auto"/>
      </w:divBdr>
    </w:div>
    <w:div w:id="1955289481">
      <w:bodyDiv w:val="1"/>
      <w:marLeft w:val="0"/>
      <w:marRight w:val="0"/>
      <w:marTop w:val="0"/>
      <w:marBottom w:val="0"/>
      <w:divBdr>
        <w:top w:val="none" w:sz="0" w:space="0" w:color="auto"/>
        <w:left w:val="none" w:sz="0" w:space="0" w:color="auto"/>
        <w:bottom w:val="none" w:sz="0" w:space="0" w:color="auto"/>
        <w:right w:val="none" w:sz="0" w:space="0" w:color="auto"/>
      </w:divBdr>
    </w:div>
    <w:div w:id="1963875548">
      <w:bodyDiv w:val="1"/>
      <w:marLeft w:val="0"/>
      <w:marRight w:val="0"/>
      <w:marTop w:val="0"/>
      <w:marBottom w:val="0"/>
      <w:divBdr>
        <w:top w:val="none" w:sz="0" w:space="0" w:color="auto"/>
        <w:left w:val="none" w:sz="0" w:space="0" w:color="auto"/>
        <w:bottom w:val="none" w:sz="0" w:space="0" w:color="auto"/>
        <w:right w:val="none" w:sz="0" w:space="0" w:color="auto"/>
      </w:divBdr>
    </w:div>
    <w:div w:id="1974097481">
      <w:bodyDiv w:val="1"/>
      <w:marLeft w:val="0"/>
      <w:marRight w:val="0"/>
      <w:marTop w:val="0"/>
      <w:marBottom w:val="0"/>
      <w:divBdr>
        <w:top w:val="none" w:sz="0" w:space="0" w:color="auto"/>
        <w:left w:val="none" w:sz="0" w:space="0" w:color="auto"/>
        <w:bottom w:val="none" w:sz="0" w:space="0" w:color="auto"/>
        <w:right w:val="none" w:sz="0" w:space="0" w:color="auto"/>
      </w:divBdr>
      <w:divsChild>
        <w:div w:id="1293711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715890">
      <w:bodyDiv w:val="1"/>
      <w:marLeft w:val="0"/>
      <w:marRight w:val="0"/>
      <w:marTop w:val="0"/>
      <w:marBottom w:val="0"/>
      <w:divBdr>
        <w:top w:val="none" w:sz="0" w:space="0" w:color="auto"/>
        <w:left w:val="none" w:sz="0" w:space="0" w:color="auto"/>
        <w:bottom w:val="none" w:sz="0" w:space="0" w:color="auto"/>
        <w:right w:val="none" w:sz="0" w:space="0" w:color="auto"/>
      </w:divBdr>
    </w:div>
    <w:div w:id="2098208089">
      <w:bodyDiv w:val="1"/>
      <w:marLeft w:val="0"/>
      <w:marRight w:val="0"/>
      <w:marTop w:val="0"/>
      <w:marBottom w:val="0"/>
      <w:divBdr>
        <w:top w:val="none" w:sz="0" w:space="0" w:color="auto"/>
        <w:left w:val="none" w:sz="0" w:space="0" w:color="auto"/>
        <w:bottom w:val="none" w:sz="0" w:space="0" w:color="auto"/>
        <w:right w:val="none" w:sz="0" w:space="0" w:color="auto"/>
      </w:divBdr>
    </w:div>
    <w:div w:id="2122918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IN"/>
              <a:t>Declining GNPA</a:t>
            </a:r>
            <a:r>
              <a:rPr lang="en-IN" baseline="0"/>
              <a:t> %</a:t>
            </a:r>
            <a:r>
              <a:rPr lang="en-IN"/>
              <a:t> of Indian Banks</a:t>
            </a:r>
            <a:endParaRPr lang="en-US"/>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lineChart>
        <c:grouping val="standard"/>
        <c:varyColors val="0"/>
        <c:ser>
          <c:idx val="0"/>
          <c:order val="0"/>
          <c:tx>
            <c:strRef>
              <c:f>Sheet1!$G$3</c:f>
              <c:strCache>
                <c:ptCount val="1"/>
                <c:pt idx="0">
                  <c:v>GNPA %</c:v>
                </c:pt>
              </c:strCache>
            </c:strRef>
          </c:tx>
          <c:spPr>
            <a:ln w="31750" cap="rnd">
              <a:solidFill>
                <a:schemeClr val="accent1"/>
              </a:solidFill>
              <a:round/>
            </a:ln>
            <a:effectLst/>
          </c:spPr>
          <c:marker>
            <c:symbol val="circle"/>
            <c:size val="17"/>
            <c:spPr>
              <a:solidFill>
                <a:schemeClr val="tx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numRef>
              <c:f>Sheet1!$F$4:$F$7</c:f>
              <c:numCache>
                <c:formatCode>General</c:formatCode>
                <c:ptCount val="4"/>
                <c:pt idx="0">
                  <c:v>2022</c:v>
                </c:pt>
                <c:pt idx="1">
                  <c:v>2023</c:v>
                </c:pt>
                <c:pt idx="2">
                  <c:v>2024</c:v>
                </c:pt>
                <c:pt idx="3">
                  <c:v>2025</c:v>
                </c:pt>
              </c:numCache>
            </c:numRef>
          </c:cat>
          <c:val>
            <c:numRef>
              <c:f>Sheet1!$G$4:$G$7</c:f>
              <c:numCache>
                <c:formatCode>General</c:formatCode>
                <c:ptCount val="4"/>
                <c:pt idx="0">
                  <c:v>5.8</c:v>
                </c:pt>
                <c:pt idx="1">
                  <c:v>3.9</c:v>
                </c:pt>
                <c:pt idx="2">
                  <c:v>2.8</c:v>
                </c:pt>
                <c:pt idx="3">
                  <c:v>2.2999999999999998</c:v>
                </c:pt>
              </c:numCache>
            </c:numRef>
          </c:val>
          <c:smooth val="0"/>
          <c:extLst>
            <c:ext xmlns:c16="http://schemas.microsoft.com/office/drawing/2014/chart" uri="{C3380CC4-5D6E-409C-BE32-E72D297353CC}">
              <c16:uniqueId val="{00000000-D546-4684-8F3A-FCE51C223E9C}"/>
            </c:ext>
          </c:extLst>
        </c:ser>
        <c:dLbls>
          <c:dLblPos val="ctr"/>
          <c:showLegendKey val="0"/>
          <c:showVal val="1"/>
          <c:showCatName val="0"/>
          <c:showSerName val="0"/>
          <c:showPercent val="0"/>
          <c:showBubbleSize val="0"/>
        </c:dLbls>
        <c:marker val="1"/>
        <c:smooth val="0"/>
        <c:axId val="396946984"/>
        <c:axId val="396947640"/>
      </c:lineChart>
      <c:catAx>
        <c:axId val="396946984"/>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396947640"/>
        <c:crosses val="autoZero"/>
        <c:auto val="1"/>
        <c:lblAlgn val="ctr"/>
        <c:lblOffset val="100"/>
        <c:noMultiLvlLbl val="0"/>
      </c:catAx>
      <c:valAx>
        <c:axId val="396947640"/>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396946984"/>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b="0" i="0" u="none" strike="noStrike" kern="1200" baseline="0">
              <a:solidFill>
                <a:schemeClr val="dk1">
                  <a:lumMod val="65000"/>
                  <a:lumOff val="35000"/>
                </a:schemeClr>
              </a:solidFill>
              <a:effectLst/>
              <a:latin typeface="+mn-lt"/>
              <a:ea typeface="+mn-ea"/>
              <a:cs typeface="+mn-cs"/>
            </a:defRPr>
          </a:pPr>
          <a:endParaRPr lang="en-US"/>
        </a:p>
      </c:txPr>
    </c:title>
    <c:autoTitleDeleted val="0"/>
    <c:plotArea>
      <c:layout/>
      <c:barChart>
        <c:barDir val="col"/>
        <c:grouping val="clustered"/>
        <c:varyColors val="0"/>
        <c:ser>
          <c:idx val="0"/>
          <c:order val="0"/>
          <c:tx>
            <c:strRef>
              <c:f>Sheet1!$D$3</c:f>
              <c:strCache>
                <c:ptCount val="1"/>
                <c:pt idx="0">
                  <c:v>CRAR (%)</c:v>
                </c:pt>
              </c:strCache>
            </c:strRef>
          </c:tx>
          <c:spPr>
            <a:solidFill>
              <a:schemeClr val="accent2">
                <a:lumMod val="75000"/>
              </a:schemeClr>
            </a:solidFill>
            <a:ln>
              <a:solidFill>
                <a:schemeClr val="tx1"/>
              </a:solidFill>
            </a:ln>
            <a:effectLst>
              <a:outerShdw blurRad="76200" dir="18900000" sy="23000" kx="-1200000" algn="bl" rotWithShape="0">
                <a:prstClr val="black">
                  <a:alpha val="20000"/>
                </a:prst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numRef>
              <c:f>Sheet1!$C$4:$C$7</c:f>
              <c:numCache>
                <c:formatCode>General</c:formatCode>
                <c:ptCount val="4"/>
                <c:pt idx="0">
                  <c:v>2022</c:v>
                </c:pt>
                <c:pt idx="1">
                  <c:v>2023</c:v>
                </c:pt>
                <c:pt idx="2">
                  <c:v>2024</c:v>
                </c:pt>
                <c:pt idx="3">
                  <c:v>2025</c:v>
                </c:pt>
              </c:numCache>
            </c:numRef>
          </c:cat>
          <c:val>
            <c:numRef>
              <c:f>Sheet1!$D$4:$D$7</c:f>
              <c:numCache>
                <c:formatCode>General</c:formatCode>
                <c:ptCount val="4"/>
                <c:pt idx="0">
                  <c:v>16</c:v>
                </c:pt>
                <c:pt idx="1">
                  <c:v>16.8</c:v>
                </c:pt>
                <c:pt idx="2">
                  <c:v>17</c:v>
                </c:pt>
                <c:pt idx="3">
                  <c:v>17.2</c:v>
                </c:pt>
              </c:numCache>
            </c:numRef>
          </c:val>
          <c:extLst>
            <c:ext xmlns:c16="http://schemas.microsoft.com/office/drawing/2014/chart" uri="{C3380CC4-5D6E-409C-BE32-E72D297353CC}">
              <c16:uniqueId val="{00000000-BFA9-4262-92AB-2BBD9C8852C7}"/>
            </c:ext>
          </c:extLst>
        </c:ser>
        <c:dLbls>
          <c:dLblPos val="inEnd"/>
          <c:showLegendKey val="0"/>
          <c:showVal val="1"/>
          <c:showCatName val="0"/>
          <c:showSerName val="0"/>
          <c:showPercent val="0"/>
          <c:showBubbleSize val="0"/>
        </c:dLbls>
        <c:gapWidth val="41"/>
        <c:axId val="320389712"/>
        <c:axId val="320391024"/>
      </c:barChart>
      <c:catAx>
        <c:axId val="32038971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effectLst/>
                <a:latin typeface="+mn-lt"/>
                <a:ea typeface="+mn-ea"/>
                <a:cs typeface="+mn-cs"/>
              </a:defRPr>
            </a:pPr>
            <a:endParaRPr lang="en-US"/>
          </a:p>
        </c:txPr>
        <c:crossAx val="320391024"/>
        <c:crosses val="autoZero"/>
        <c:auto val="1"/>
        <c:lblAlgn val="ctr"/>
        <c:lblOffset val="100"/>
        <c:noMultiLvlLbl val="0"/>
      </c:catAx>
      <c:valAx>
        <c:axId val="320391024"/>
        <c:scaling>
          <c:orientation val="minMax"/>
        </c:scaling>
        <c:delete val="1"/>
        <c:axPos val="l"/>
        <c:numFmt formatCode="General" sourceLinked="1"/>
        <c:majorTickMark val="none"/>
        <c:minorTickMark val="none"/>
        <c:tickLblPos val="nextTo"/>
        <c:crossAx val="320389712"/>
        <c:crosses val="autoZero"/>
        <c:crossBetween val="between"/>
      </c:valAx>
      <c:spPr>
        <a:noFill/>
        <a:ln>
          <a:noFill/>
        </a:ln>
        <a:effectLst/>
      </c:spPr>
    </c:plotArea>
    <c:plotVisOnly val="1"/>
    <c:dispBlanksAs val="gap"/>
    <c:showDLblsOverMax val="0"/>
  </c:chart>
  <c: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4">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a:effectLst/>
    </cs:defRPr>
  </cs:categoryAxis>
  <cs:chartArea>
    <cs:lnRef idx="0"/>
    <cs:fillRef idx="0"/>
    <cs:effectRef idx="0"/>
    <cs:fontRef idx="minor">
      <a:schemeClr val="dk1"/>
    </cs:fontRef>
    <cs: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cs:spPr>
    <cs:defRPr sz="1000" kern="1200"/>
  </cs:chartArea>
  <cs:dataLabel>
    <cs:lnRef idx="0"/>
    <cs:fillRef idx="0"/>
    <cs:effectRef idx="0"/>
    <cs:fontRef idx="minor">
      <a:schemeClr val="lt1"/>
    </cs:fontRef>
    <cs:spPr/>
    <cs:defRPr sz="10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10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
  <cs:dataPoint3D>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3D>
  <cs:dataPointLine>
    <cs:lnRef idx="0">
      <cs:styleClr val="auto"/>
    </cs:lnRef>
    <cs:fillRef idx="0"/>
    <cs:effectRef idx="0"/>
    <cs:fontRef idx="minor">
      <a:schemeClr val="dk1"/>
    </cs:fontRef>
    <cs:spPr>
      <a:ln w="28575" cap="rnd">
        <a:gradFill>
          <a:gsLst>
            <a:gs pos="0">
              <a:schemeClr val="phClr"/>
            </a:gs>
            <a:gs pos="100000">
              <a:schemeClr val="phClr">
                <a:lumMod val="84000"/>
              </a:schemeClr>
            </a:gs>
          </a:gsLst>
          <a:lin ang="5400000" scaled="1"/>
        </a:gradFill>
        <a:round/>
      </a:ln>
    </cs:spPr>
  </cs:dataPointLine>
  <cs:dataPointMarker>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35000"/>
          <a:lumOff val="6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50000"/>
            <a:lumOff val="50000"/>
          </a:schemeClr>
        </a:solidFill>
        <a:round/>
      </a:ln>
    </cs:spPr>
  </cs:dropLine>
  <cs:errorBar>
    <cs:lnRef idx="0"/>
    <cs:fillRef idx="0"/>
    <cs:effectRef idx="0"/>
    <cs:fontRef idx="minor">
      <a:schemeClr val="dk1"/>
    </cs:fontRef>
    <cs:spPr>
      <a:ln w="9525">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65000"/>
        <a:lumOff val="35000"/>
      </a:schemeClr>
    </cs:fontRef>
    <cs:defRPr kern="1200">
      <a:effectLst/>
    </cs:defRPr>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lumMod val="95000"/>
        </a:schemeClr>
      </a:solidFill>
      <a:ln w="9525">
        <a:solidFill>
          <a:schemeClr val="dk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603</TotalTime>
  <Pages>1</Pages>
  <Words>3174</Words>
  <Characters>18096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21</cp:revision>
  <dcterms:created xsi:type="dcterms:W3CDTF">2026-05-08T05:21:00Z</dcterms:created>
  <dcterms:modified xsi:type="dcterms:W3CDTF">2026-07-06T06:32:00Z</dcterms:modified>
</cp:coreProperties>
</file>