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6B7280"/>
          <w:sz w:val="22"/>
          <w:szCs w:val="22"/>
        </w:rPr>
        <w:t xml:space="preserve">BOOKS SND · BANCO DE HORAS</w:t>
      </w:r>
    </w:p>
    <w:p>
      <w:pPr>
        <w:spacing w:after="120" w:before="200"/>
      </w:pPr>
      <w:r>
        <w:rPr>
          <w:b/>
          <w:bCs/>
          <w:color w:val="2563EB"/>
          <w:sz w:val="56"/>
          <w:szCs w:val="56"/>
        </w:rPr>
        <w:t xml:space="preserve">Múltiplos Bancos de Horas por Empresa</w:t>
      </w:r>
    </w:p>
    <w:p>
      <w:pPr>
        <w:spacing w:after="600"/>
      </w:pPr>
      <w:r>
        <w:rPr>
          <w:color w:val="1E3A8A"/>
          <w:sz w:val="28"/>
          <w:szCs w:val="28"/>
        </w:rPr>
        <w:t xml:space="preserve">Especificação Funcional — bancos por produto e por módulo, com de-para de grupos Aranda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229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Informação</w:t>
            </w:r>
          </w:p>
        </w:tc>
      </w:tr>
      <w:tr>
        <w:tc>
          <w:tcPr>
            <w:tcW w:type="dxa" w:w="240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</w:t>
            </w:r>
          </w:p>
        </w:tc>
        <w:tc>
          <w:tcPr>
            <w:tcW w:type="dxa" w:w="722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Books SND — Plataforma administrativa AMS</w:t>
            </w:r>
          </w:p>
        </w:tc>
      </w:tr>
      <w:tr>
        <w:tc>
          <w:tcPr>
            <w:tcW w:type="dxa" w:w="240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</w:t>
            </w:r>
          </w:p>
        </w:tc>
        <w:tc>
          <w:tcPr>
            <w:tcW w:type="dxa" w:w="722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Especificação Funcional</w:t>
            </w:r>
          </w:p>
        </w:tc>
      </w:tr>
      <w:tr>
        <w:tc>
          <w:tcPr>
            <w:tcW w:type="dxa" w:w="240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</w:t>
            </w:r>
          </w:p>
        </w:tc>
        <w:tc>
          <w:tcPr>
            <w:tcW w:type="dxa" w:w="722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1.1 — para revisão</w:t>
            </w:r>
          </w:p>
        </w:tc>
      </w:tr>
      <w:tr>
        <w:tc>
          <w:tcPr>
            <w:tcW w:type="dxa" w:w="240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722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07/10/2026</w:t>
            </w:r>
          </w:p>
        </w:tc>
      </w:tr>
      <w:tr>
        <w:tc>
          <w:tcPr>
            <w:tcW w:type="dxa" w:w="240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Autor</w:t>
            </w:r>
          </w:p>
        </w:tc>
        <w:tc>
          <w:tcPr>
            <w:tcW w:type="dxa" w:w="722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Willian Faria</w:t>
            </w:r>
          </w:p>
        </w:tc>
      </w:tr>
      <w:tr>
        <w:tc>
          <w:tcPr>
            <w:tcW w:type="dxa" w:w="240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2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 revisão — nenhuma alteração foi feita no sistema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bCs/>
          <w:color w:val="2563EB"/>
          <w:sz w:val="28"/>
          <w:szCs w:val="28"/>
        </w:rPr>
        <w:t xml:space="preserve">Controle de versões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82"/>
        <w:gridCol w:w="1407"/>
        <w:gridCol w:w="1732"/>
        <w:gridCol w:w="5417"/>
      </w:tblGrid>
      <w:tr>
        <w:trPr>
          <w:tblHeader/>
        </w:trPr>
        <w:tc>
          <w:tcPr>
            <w:tcW w:type="dxa" w:w="108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407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173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  <w:tc>
          <w:tcPr>
            <w:tcW w:type="dxa" w:w="5417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08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  <w:tc>
          <w:tcPr>
            <w:tcW w:type="dxa" w:w="140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05/10/2026</w:t>
            </w:r>
          </w:p>
        </w:tc>
        <w:tc>
          <w:tcPr>
            <w:tcW w:type="dxa" w:w="173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Willian Faria</w:t>
            </w:r>
          </w:p>
        </w:tc>
        <w:tc>
          <w:tcPr>
            <w:tcW w:type="dxa" w:w="541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 inicial para revisão das áreas de negócio e desenvolvimento</w:t>
            </w:r>
          </w:p>
        </w:tc>
      </w:tr>
      <w:tr>
        <w:tc>
          <w:tcPr>
            <w:tcW w:type="dxa" w:w="108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  <w:tc>
          <w:tcPr>
            <w:tcW w:type="dxa" w:w="140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07/10/2026</w:t>
            </w:r>
          </w:p>
        </w:tc>
        <w:tc>
          <w:tcPr>
            <w:tcW w:type="dxa" w:w="173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Willian Faria</w:t>
            </w:r>
          </w:p>
        </w:tc>
        <w:tc>
          <w:tcPr>
            <w:tcW w:type="dxa" w:w="541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Inclusão do parâmetro de consumo entre bancos (seções 3, 4, 5.3, 5.5, 6, 8.3, 9, 10 e Anexo A)</w:t>
            </w:r>
          </w:p>
        </w:tc>
      </w:tr>
    </w:tbl>
    <w:p>
      <w:pPr>
        <w:spacing w:after="60"/>
      </w:pPr>
    </w:p>
    <w:p>
      <w:pPr>
        <w:spacing w:after="160" w:before="360"/>
      </w:pPr>
      <w:r>
        <w:rPr>
          <w:b/>
          <w:bCs/>
          <w:color w:val="2563EB"/>
          <w:sz w:val="28"/>
          <w:szCs w:val="28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76"/>
      </w:pPr>
      <w:r>
        <w:rPr>
          <w:i/>
          <w:iCs/>
          <w:color w:val="6B7280"/>
          <w:sz w:val="18"/>
          <w:szCs w:val="18"/>
        </w:rPr>
        <w:t xml:space="preserve">(Caso o sumário apareça vazio, clique com o botão direito sobre ele no Word e escolha "Atualizar campo".)</w:t>
      </w:r>
    </w:p>
    <w:p>
      <w:pPr>
        <w:pStyle w:val="Heading1"/>
        <w:pageBreakBefore/>
      </w:pPr>
      <w:r>
        <w:t xml:space="preserve">1. Objetivo</w:t>
      </w:r>
    </w:p>
    <w:p>
      <w:pPr>
        <w:spacing w:after="120" w:line="276"/>
      </w:pPr>
      <w:r>
        <w:t xml:space="preserve">Permitir que uma empresa cliente possua </w:t>
      </w:r>
      <w:r>
        <w:rPr>
          <w:b/>
          <w:bCs/>
        </w:rPr>
        <w:t xml:space="preserve">mais de um banco de horas</w:t>
      </w:r>
      <w:r>
        <w:t xml:space="preserve">, cada um ligado a um produto, a um conjunto de módulos de um produto, ou a um recorte específico do atendimento, com </w:t>
      </w:r>
      <w:r>
        <w:rPr>
          <w:b/>
          <w:bCs/>
        </w:rPr>
        <w:t xml:space="preserve">parametrização própria</w:t>
      </w:r>
      <w:r>
        <w:t xml:space="preserve"> (baseline, período de apuração, vigência, repasse e taxa).</w:t>
      </w:r>
    </w:p>
    <w:p>
      <w:pPr>
        <w:spacing w:after="120" w:line="276"/>
      </w:pPr>
      <w:r>
        <w:t xml:space="preserve">A solução também cria a manutenção do </w:t>
      </w:r>
      <w:r>
        <w:rPr>
          <w:b/>
          <w:bCs/>
        </w:rPr>
        <w:t xml:space="preserve">de-para de grupos do Aranda</w:t>
      </w:r>
      <w:r>
        <w:t xml:space="preserve">, que converte os grupos de atendimento em um produto/módulo unificado e passa a determinar automaticamente em qual banco cada hora apontada deve ser consumida.</w:t>
      </w:r>
    </w:p>
    <w:p>
      <w:pPr>
        <w:pStyle w:val="Heading2"/>
      </w:pPr>
      <w:r>
        <w:t xml:space="preserve">1.1 Cenários de contrato que motivam a mudança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428"/>
        <w:gridCol w:w="3212"/>
        <w:gridCol w:w="3426"/>
        <w:gridCol w:w="2572"/>
      </w:tblGrid>
      <w:tr>
        <w:trPr>
          <w:tblHeader/>
        </w:trPr>
        <w:tc>
          <w:tcPr>
            <w:tcW w:type="dxa" w:w="428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1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Cenário</w:t>
            </w:r>
          </w:p>
        </w:tc>
        <w:tc>
          <w:tcPr>
            <w:tcW w:type="dxa" w:w="3426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</w:t>
            </w:r>
          </w:p>
        </w:tc>
        <w:tc>
          <w:tcPr>
            <w:tcW w:type="dxa" w:w="257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Atendido hoje?</w:t>
            </w:r>
          </w:p>
        </w:tc>
      </w:tr>
      <w:tr>
        <w:tc>
          <w:tcPr>
            <w:tcW w:type="dxa" w:w="42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21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 com vários produtos, mas banco AMS para apenas um deles</w:t>
            </w:r>
          </w:p>
        </w:tc>
        <w:tc>
          <w:tcPr>
            <w:tcW w:type="dxa" w:w="342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Contrata COMEX e FISCAL, mas só COMEX tem banco de horas</w:t>
            </w:r>
          </w:p>
        </w:tc>
        <w:tc>
          <w:tcPr>
            <w:tcW w:type="dxa" w:w="257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— o banco consome horas de todos os produtos</w:t>
            </w:r>
          </w:p>
        </w:tc>
      </w:tr>
      <w:tr>
        <w:tc>
          <w:tcPr>
            <w:tcW w:type="dxa" w:w="42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21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 com banco para dois produtos, mas com saldos separados</w:t>
            </w:r>
          </w:p>
        </w:tc>
        <w:tc>
          <w:tcPr>
            <w:tcW w:type="dxa" w:w="342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COMEX com 80h e banco FISCAL com 60h, cada um com seu ciclo</w:t>
            </w:r>
          </w:p>
        </w:tc>
        <w:tc>
          <w:tcPr>
            <w:tcW w:type="dxa" w:w="257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— existe um único saldo por empresa</w:t>
            </w:r>
          </w:p>
        </w:tc>
      </w:tr>
      <w:tr>
        <w:tc>
          <w:tcPr>
            <w:tcW w:type="dxa" w:w="42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21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 com banco para um produto, dividido entre módulos</w:t>
            </w:r>
          </w:p>
        </w:tc>
        <w:tc>
          <w:tcPr>
            <w:tcW w:type="dxa" w:w="342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FISCAL dividido em "e-DOCS" (40h) e "demais módulos" (60h)</w:t>
            </w:r>
          </w:p>
        </w:tc>
        <w:tc>
          <w:tcPr>
            <w:tcW w:type="dxa" w:w="257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— não há divisão por módulo</w:t>
            </w:r>
          </w:p>
        </w:tc>
      </w:tr>
    </w:tbl>
    <w:p>
      <w:pPr>
        <w:pStyle w:val="Heading2"/>
      </w:pPr>
      <w:r>
        <w:t xml:space="preserve">1.2 Premissa principal</w:t>
      </w:r>
    </w:p>
    <w:tbl>
      <w:tblPr>
        <w:tblW w:type="dxa" w:w="9638"/>
        <w:tblBorders>
          <w:top w:val="none" w:color="FFFFFF" w:sz="0"/>
          <w:left w:val="single" w:color="04785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CFDF5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047857"/>
                <w:sz w:val="20"/>
                <w:szCs w:val="20"/>
              </w:rPr>
              <w:t xml:space="preserve">Nada do que funciona hoje será alterado durante a construção</w:t>
            </w:r>
          </w:p>
          <w:p>
            <w:pPr>
              <w:spacing w:after="20" w:line="264"/>
            </w:pPr>
            <w:r>
              <w:rPr>
                <w:sz w:val="20"/>
                <w:szCs w:val="20"/>
              </w:rPr>
              <w:t xml:space="preserve">O novo modelo será construído </w:t>
            </w:r>
            <w:r>
              <w:rPr>
                <w:b/>
                <w:bCs/>
                <w:sz w:val="20"/>
                <w:szCs w:val="20"/>
              </w:rPr>
              <w:t xml:space="preserve">em paralelo</w:t>
            </w:r>
            <w:r>
              <w:rPr>
                <w:sz w:val="20"/>
                <w:szCs w:val="20"/>
              </w:rPr>
              <w:t xml:space="preserve">. Books, Saldo Parcial, relatórios e cálculos atuais continuam funcionando exatamente como hoje.</w:t>
            </w:r>
          </w:p>
          <w:p>
            <w:pPr>
              <w:spacing w:after="20" w:line="264"/>
            </w:pPr>
            <w:r>
              <w:rPr>
                <w:sz w:val="20"/>
                <w:szCs w:val="20"/>
              </w:rPr>
              <w:t xml:space="preserve">Cada empresa só passa a usar o novo modelo depois de </w:t>
            </w:r>
            <w:r>
              <w:rPr>
                <w:b/>
                <w:bCs/>
                <w:sz w:val="20"/>
                <w:szCs w:val="20"/>
              </w:rPr>
              <w:t xml:space="preserve">validada</w:t>
            </w:r>
            <w:r>
              <w:rPr>
                <w:sz w:val="20"/>
                <w:szCs w:val="20"/>
              </w:rPr>
              <w:t xml:space="preserve"> (comparação Legado x Novo). O modelo antigo só é removido quando </w:t>
            </w:r>
            <w:r>
              <w:rPr>
                <w:b/>
                <w:bCs/>
                <w:sz w:val="20"/>
                <w:szCs w:val="20"/>
              </w:rPr>
              <w:t xml:space="preserve">todas</w:t>
            </w:r>
            <w:r>
              <w:rPr>
                <w:sz w:val="20"/>
                <w:szCs w:val="20"/>
              </w:rPr>
              <w:t xml:space="preserve"> as empresas estiverem migradas e com pelo menos um ciclo de envios validado.</w:t>
            </w:r>
          </w:p>
        </w:tc>
      </w:tr>
    </w:tbl>
    <w:p>
      <w:pPr>
        <w:pStyle w:val="Heading1"/>
        <w:pageBreakBefore/>
      </w:pPr>
      <w:r>
        <w:t xml:space="preserve">2. Situação atual e limitações</w:t>
      </w:r>
    </w:p>
    <w:p>
      <w:pPr>
        <w:pStyle w:val="Heading2"/>
      </w:pPr>
      <w:r>
        <w:t xml:space="preserve">2.1 Como funciona hoje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Cada empresa tem </w:t>
      </w:r>
      <w:r>
        <w:rPr>
          <w:b/>
          <w:bCs/>
        </w:rPr>
        <w:t xml:space="preserve">um único banco de horas</w:t>
      </w:r>
      <w:r>
        <w:t xml:space="preserve">. Os parâmetros (tipo de contrato, período, vigência, baseline, repasse) ficam no cadastro da empresa.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Todas as horas AMS apontadas para a empresa no Aranda são consumidas desse único banco, </w:t>
      </w:r>
      <w:r>
        <w:rPr>
          <w:b/>
          <w:bCs/>
        </w:rPr>
        <w:t xml:space="preserve">independentemente do produto ou módulo</w:t>
      </w:r>
      <w:r>
        <w:t xml:space="preserve"> atendido.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 cálculo é feito por empresa e mês, e o Book e o e-mail de Saldo Parcial mostram uma única tabela de banco de horas.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 Aranda </w:t>
      </w:r>
      <w:r>
        <w:rPr>
          <w:b/>
          <w:bCs/>
        </w:rPr>
        <w:t xml:space="preserve">não informa produto nem módulo</w:t>
      </w:r>
      <w:r>
        <w:t xml:space="preserve"> no apontamento. O que identifica o módulo é o </w:t>
      </w:r>
      <w:r>
        <w:rPr>
          <w:b/>
          <w:bCs/>
        </w:rPr>
        <w:t xml:space="preserve">grupo de atendimento</w:t>
      </w:r>
      <w:r>
        <w:t xml:space="preserve"> (ex.: "AMS APL - CAMBIO - N2").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Já existe uma tabela de de-para que liga </w:t>
      </w:r>
      <w:r>
        <w:rPr>
          <w:b/>
          <w:bCs/>
        </w:rPr>
        <w:t xml:space="preserve">172 grupos</w:t>
      </w:r>
      <w:r>
        <w:t xml:space="preserve"> do Aranda a </w:t>
      </w:r>
      <w:r>
        <w:rPr>
          <w:b/>
          <w:bCs/>
        </w:rPr>
        <w:t xml:space="preserve">64 grupos do Book</w:t>
      </w:r>
      <w:r>
        <w:t xml:space="preserve"> (ex.: "COMEX - Câmbio"), mas ela é usada apenas para exibição no Book, em Elogios e em Pesquisas. Hoje ela é mantida diretamente no banco de dados, sem tela.</w:t>
      </w:r>
    </w:p>
    <w:p>
      <w:pPr>
        <w:pStyle w:val="Heading2"/>
      </w:pPr>
      <w:r>
        <w:t xml:space="preserve">2.2 Soluções paliativas existentes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355"/>
        <w:gridCol w:w="3855"/>
        <w:gridCol w:w="3428"/>
      </w:tblGrid>
      <w:tr>
        <w:trPr>
          <w:tblHeader/>
        </w:trPr>
        <w:tc>
          <w:tcPr>
            <w:tcW w:type="dxa" w:w="2355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Solução</w:t>
            </w:r>
          </w:p>
        </w:tc>
        <w:tc>
          <w:tcPr>
            <w:tcW w:type="dxa" w:w="3855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funciona</w:t>
            </w:r>
          </w:p>
        </w:tc>
        <w:tc>
          <w:tcPr>
            <w:tcW w:type="dxa" w:w="3428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Limitação</w:t>
            </w:r>
          </w:p>
        </w:tc>
      </w:tr>
      <w:tr>
        <w:tc>
          <w:tcPr>
            <w:tcW w:type="dxa" w:w="23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Segmentação de baseline (usada só pela ANGLO)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Divide o baseline de uma empresa por percentual (NIQUEL 50% / IOB 50%), separando horas pelo item de configuração</w:t>
            </w:r>
          </w:p>
        </w:tc>
        <w:tc>
          <w:tcPr>
            <w:tcW w:type="dxa" w:w="342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Mesmo ciclo, repasse e taxa para todos; cálculo só na tela, sem histórico gravado</w:t>
            </w:r>
          </w:p>
        </w:tc>
      </w:tr>
      <w:tr>
        <w:tc>
          <w:tcPr>
            <w:tcW w:type="dxa" w:w="235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Alocações de baseline</w:t>
            </w:r>
          </w:p>
        </w:tc>
        <w:tc>
          <w:tcPr>
            <w:tcW w:type="dxa" w:w="385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Estrutura prevista para dividir o baseline</w:t>
            </w:r>
          </w:p>
        </w:tc>
        <w:tc>
          <w:tcPr>
            <w:tcW w:type="dxa" w:w="342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Nunca foi concluída — não está em uso</w:t>
            </w:r>
          </w:p>
        </w:tc>
      </w:tr>
      <w:tr>
        <w:tc>
          <w:tcPr>
            <w:tcW w:type="dxa" w:w="23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Cadastrar a mesma empresa duas vezes (Novo Nordisk / Novo Nordisk MOC)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"empresa" tem seu próprio banco</w:t>
            </w:r>
          </w:p>
        </w:tc>
        <w:tc>
          <w:tcPr>
            <w:tcW w:type="dxa" w:w="342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Duplica cadastro, contatos e books; exige ajustes específicos no código</w:t>
            </w:r>
          </w:p>
        </w:tc>
      </w:tr>
    </w:tbl>
    <w:p>
      <w:pPr>
        <w:pStyle w:val="Heading2"/>
      </w:pPr>
      <w:r>
        <w:t xml:space="preserve">2.3 Conclusão</w:t>
      </w:r>
    </w:p>
    <w:p>
      <w:pPr>
        <w:spacing w:after="120" w:line="276"/>
      </w:pPr>
      <w:r>
        <w:t xml:space="preserve">Nenhuma das soluções existentes atende aos três cenários. A recomendação é transformar o banco de horas em um </w:t>
      </w:r>
      <w:r>
        <w:rPr>
          <w:b/>
          <w:bCs/>
        </w:rPr>
        <w:t xml:space="preserve">cadastro próprio</w:t>
      </w:r>
      <w:r>
        <w:t xml:space="preserve">, com vários bancos por empresa, e usar o de-para de grupos como base da classificação, em vez de criar mais uma solução paliativa.</w:t>
      </w:r>
    </w:p>
    <w:p>
      <w:pPr>
        <w:pStyle w:val="Heading1"/>
        <w:pageBreakBefore/>
      </w:pPr>
      <w:r>
        <w:t xml:space="preserve">3. Visão geral da solução</w:t>
      </w:r>
    </w:p>
    <w:p>
      <w:pPr>
        <w:pStyle w:val="Heading2"/>
      </w:pPr>
      <w:r>
        <w:t xml:space="preserve">3.1 Conceitos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927"/>
        <w:gridCol w:w="4711"/>
        <w:gridCol w:w="3000"/>
      </w:tblGrid>
      <w:tr>
        <w:trPr>
          <w:tblHeader/>
        </w:trPr>
        <w:tc>
          <w:tcPr>
            <w:tcW w:type="dxa" w:w="1927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Conceito</w:t>
            </w:r>
          </w:p>
        </w:tc>
        <w:tc>
          <w:tcPr>
            <w:tcW w:type="dxa" w:w="4711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Definição</w:t>
            </w:r>
          </w:p>
        </w:tc>
        <w:tc>
          <w:tcPr>
            <w:tcW w:type="dxa" w:w="3000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</w:t>
            </w:r>
          </w:p>
        </w:tc>
      </w:tr>
      <w:tr>
        <w:tc>
          <w:tcPr>
            <w:tcW w:type="dxa" w:w="192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</w:t>
            </w:r>
          </w:p>
        </w:tc>
        <w:tc>
          <w:tcPr>
            <w:tcW w:type="dxa" w:w="471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Linha de produto atendida pelo AMS. Cadastro global.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COMEX, FISCAL, GALLERY</w:t>
            </w:r>
          </w:p>
        </w:tc>
      </w:tr>
      <w:tr>
        <w:tc>
          <w:tcPr>
            <w:tcW w:type="dxa" w:w="192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Módulo</w:t>
            </w:r>
          </w:p>
        </w:tc>
        <w:tc>
          <w:tcPr>
            <w:tcW w:type="dxa" w:w="471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Subdivisão de um produto. Cadastro global, vinculado a um produto.</w:t>
            </w:r>
          </w:p>
        </w:tc>
        <w:tc>
          <w:tcPr>
            <w:tcW w:type="dxa" w:w="300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COMEX › Câmbio; FISCAL › COMPLY e-DOCS</w:t>
            </w:r>
          </w:p>
        </w:tc>
      </w:tr>
      <w:tr>
        <w:tc>
          <w:tcPr>
            <w:tcW w:type="dxa" w:w="192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Aranda</w:t>
            </w:r>
          </w:p>
        </w:tc>
        <w:tc>
          <w:tcPr>
            <w:tcW w:type="dxa" w:w="471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de atendimento que vem do Aranda em cada apontamento/ticket.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AMS APL - CAMBIO - N2</w:t>
            </w:r>
          </w:p>
        </w:tc>
      </w:tr>
      <w:tr>
        <w:tc>
          <w:tcPr>
            <w:tcW w:type="dxa" w:w="192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De-para de Grupos</w:t>
            </w:r>
          </w:p>
        </w:tc>
        <w:tc>
          <w:tcPr>
            <w:tcW w:type="dxa" w:w="471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Vínculo de cada Grupo Aranda a um Grupo do Book e a um Módulo.</w:t>
            </w:r>
          </w:p>
        </w:tc>
        <w:tc>
          <w:tcPr>
            <w:tcW w:type="dxa" w:w="300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AMS APL - CAMBIO - N2 → COMEX › Câmbio</w:t>
            </w:r>
          </w:p>
        </w:tc>
      </w:tr>
      <w:tr>
        <w:tc>
          <w:tcPr>
            <w:tcW w:type="dxa" w:w="192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Horas</w:t>
            </w:r>
          </w:p>
        </w:tc>
        <w:tc>
          <w:tcPr>
            <w:tcW w:type="dxa" w:w="471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de horas da empresa, com nome, descrição e parâmetros próprios. Uma empresa pode ter vários.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"Banco COMEX", "FISCAL – e-DOCS"</w:t>
            </w:r>
          </w:p>
        </w:tc>
      </w:tr>
      <w:tr>
        <w:tc>
          <w:tcPr>
            <w:tcW w:type="dxa" w:w="192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do banco</w:t>
            </w:r>
          </w:p>
        </w:tc>
        <w:tc>
          <w:tcPr>
            <w:tcW w:type="dxa" w:w="471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o banco consome: produtos inteiros e/ou módulos específicos (e, opcionalmente, um filtro por item de configuração).</w:t>
            </w:r>
          </w:p>
        </w:tc>
        <w:tc>
          <w:tcPr>
            <w:tcW w:type="dxa" w:w="300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COMEX = COMEX (todos os módulos)</w:t>
            </w:r>
          </w:p>
        </w:tc>
      </w:tr>
      <w:tr>
        <w:tc>
          <w:tcPr>
            <w:tcW w:type="dxa" w:w="192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padrão</w:t>
            </w:r>
          </w:p>
        </w:tc>
        <w:tc>
          <w:tcPr>
            <w:tcW w:type="dxa" w:w="471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obrigatório de cada empresa que recebe tudo o que não se encaixou em outro banco.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Grupos DEDICADOS, T&amp;M, AMS - ATENDIMENTO</w:t>
            </w:r>
          </w:p>
        </w:tc>
      </w:tr>
      <w:tr>
        <w:tc>
          <w:tcPr>
            <w:tcW w:type="dxa" w:w="192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Consumo entre bancos</w:t>
            </w:r>
          </w:p>
        </w:tc>
        <w:tc>
          <w:tcPr>
            <w:tcW w:type="dxa" w:w="471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 do banco que, no fechamento do período, permite cobrir o saldo negativo com o saldo positivo de outros bancos da empresa, antes de gerar excedente.</w:t>
            </w:r>
          </w:p>
        </w:tc>
        <w:tc>
          <w:tcPr>
            <w:tcW w:type="dxa" w:w="300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e-DOCS negativo em 06:30 consome 06:30 do Banco FISCAL</w:t>
            </w:r>
          </w:p>
        </w:tc>
      </w:tr>
      <w:tr>
        <w:tc>
          <w:tcPr>
            <w:tcW w:type="dxa" w:w="192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Modelo de cálculo da empresa</w:t>
            </w:r>
          </w:p>
        </w:tc>
        <w:tc>
          <w:tcPr>
            <w:tcW w:type="dxa" w:w="471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 se a empresa usa o cálculo atual (Legado) ou o novo (Bancos múltiplos).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Legado → validação → Bancos múltiplos</w:t>
            </w:r>
          </w:p>
        </w:tc>
      </w:tr>
    </w:tbl>
    <w:p>
      <w:pPr>
        <w:pStyle w:val="Heading2"/>
      </w:pPr>
      <w:r>
        <w:t xml:space="preserve">3.2 Como uma hora apontada chega a um banco</w:t>
      </w:r>
    </w:p>
    <w:p>
      <w:pPr>
        <w:spacing w:after="0" w:before="12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1 — Fluxo de classificação de um apontamento</w:t>
      </w:r>
    </w:p>
    <w:p>
      <w:pPr>
        <w:pStyle w:val="Heading2"/>
      </w:pPr>
      <w:r>
        <w:t xml:space="preserve">3.3 Como cada cenário fica configurado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784"/>
        <w:gridCol w:w="2570"/>
        <w:gridCol w:w="4284"/>
      </w:tblGrid>
      <w:tr>
        <w:trPr>
          <w:tblHeader/>
        </w:trPr>
        <w:tc>
          <w:tcPr>
            <w:tcW w:type="dxa" w:w="2784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Cenário</w:t>
            </w:r>
          </w:p>
        </w:tc>
        <w:tc>
          <w:tcPr>
            <w:tcW w:type="dxa" w:w="2570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Bancos da empresa</w:t>
            </w:r>
          </w:p>
        </w:tc>
        <w:tc>
          <w:tcPr>
            <w:tcW w:type="dxa" w:w="4284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Escopo de cada banco</w:t>
            </w:r>
          </w:p>
        </w:tc>
      </w:tr>
      <w:tr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 — Banco só para COMEX (cliente também tem FISCAL)</w:t>
            </w:r>
          </w:p>
        </w:tc>
        <w:tc>
          <w:tcPr>
            <w:tcW w:type="dxa" w:w="25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"Banco COMEX" + Banco padrão</w:t>
            </w:r>
          </w:p>
        </w:tc>
        <w:tc>
          <w:tcPr>
            <w:tcW w:type="dxa" w:w="42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COMEX: produto COMEX inteiro.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padrão: recebe FISCAL e o restante, com baseline zero (as horas ficam visíveis como excedente/controle) ou fica inativo para envio, conforme definição comercial.</w:t>
            </w:r>
          </w:p>
        </w:tc>
      </w:tr>
      <w:tr>
        <w:tc>
          <w:tcPr>
            <w:tcW w:type="dxa" w:w="27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2 — COMEX e FISCAL separados</w:t>
            </w:r>
          </w:p>
        </w:tc>
        <w:tc>
          <w:tcPr>
            <w:tcW w:type="dxa" w:w="25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"Banco COMEX" + "Banco FISCAL" (padrão)</w:t>
            </w:r>
          </w:p>
        </w:tc>
        <w:tc>
          <w:tcPr>
            <w:tcW w:type="dxa" w:w="42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COMEX: produto COMEX.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FISCAL (padrão): FISCAL e demais grupos sem produto.</w:t>
            </w:r>
          </w:p>
        </w:tc>
      </w:tr>
      <w:tr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3 — FISCAL dividido por módulos</w:t>
            </w:r>
          </w:p>
        </w:tc>
        <w:tc>
          <w:tcPr>
            <w:tcW w:type="dxa" w:w="25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"FISCAL – e-DOCS" + "Banco FISCAL" (padrão)</w:t>
            </w:r>
          </w:p>
        </w:tc>
        <w:tc>
          <w:tcPr>
            <w:tcW w:type="dxa" w:w="42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FISCAL – e-DOCS: módulo COMPLY e-DOCS.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FISCAL (padrão): os demais módulos FISCAL.</w:t>
            </w:r>
          </w:p>
        </w:tc>
      </w:tr>
      <w:tr>
        <w:tc>
          <w:tcPr>
            <w:tcW w:type="dxa" w:w="27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ANGLO (hoje segmentada)</w:t>
            </w:r>
          </w:p>
        </w:tc>
        <w:tc>
          <w:tcPr>
            <w:tcW w:type="dxa" w:w="25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"NIQUEL" + "IOB" (padrão)</w:t>
            </w:r>
          </w:p>
        </w:tc>
        <w:tc>
          <w:tcPr>
            <w:tcW w:type="dxa" w:w="42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NIQUEL: filtro por item de configuração contendo "NIQUEL".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IOB (padrão): o restante.</w:t>
            </w:r>
          </w:p>
        </w:tc>
      </w:tr>
    </w:tbl>
    <w:p>
      <w:pPr>
        <w:pStyle w:val="Heading1"/>
        <w:pageBreakBefore/>
      </w:pPr>
      <w:r>
        <w:t xml:space="preserve">4. Regras de negócio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70"/>
        <w:gridCol w:w="8568"/>
      </w:tblGrid>
      <w:tr>
        <w:trPr>
          <w:tblHeader/>
        </w:trPr>
        <w:tc>
          <w:tcPr>
            <w:tcW w:type="dxa" w:w="1070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8568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RN-01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Uma empresa pode ter </w:t>
            </w:r>
            <w:r>
              <w:rPr>
                <w:b/>
                <w:bCs/>
                <w:sz w:val="19"/>
                <w:szCs w:val="19"/>
              </w:rPr>
              <w:t xml:space="preserve">um ou mais</w:t>
            </w:r>
            <w:r>
              <w:rPr>
                <w:b w:val="false"/>
                <w:bCs w:val="false"/>
                <w:sz w:val="19"/>
                <w:szCs w:val="19"/>
              </w:rPr>
              <w:t xml:space="preserve"> bancos de horas. Toda empresa com bancos cadastrados tem </w:t>
            </w:r>
            <w:r>
              <w:rPr>
                <w:b/>
                <w:bCs/>
                <w:sz w:val="19"/>
                <w:szCs w:val="19"/>
              </w:rPr>
              <w:t xml:space="preserve">exatamente um Banco padrão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RN-02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hora apontada, ticket ou requerimento é consumido em </w:t>
            </w:r>
            <w:r>
              <w:rPr>
                <w:b/>
                <w:bCs/>
                <w:sz w:val="19"/>
                <w:szCs w:val="19"/>
              </w:rPr>
              <w:t xml:space="preserve">exatamente um</w:t>
            </w:r>
            <w:r>
              <w:rPr>
                <w:b w:val="false"/>
                <w:bCs w:val="false"/>
                <w:sz w:val="19"/>
                <w:szCs w:val="19"/>
              </w:rPr>
              <w:t xml:space="preserve"> banco. A soma do consumo dos bancos é igual ao consumo total da empresa.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RN-03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 classificação usa o </w:t>
            </w:r>
            <w:r>
              <w:rPr>
                <w:b/>
                <w:bCs/>
                <w:sz w:val="19"/>
                <w:szCs w:val="19"/>
              </w:rPr>
              <w:t xml:space="preserve">Grupo Aranda</w:t>
            </w:r>
            <w:r>
              <w:rPr>
                <w:b w:val="false"/>
                <w:bCs w:val="false"/>
                <w:sz w:val="19"/>
                <w:szCs w:val="19"/>
              </w:rPr>
              <w:t xml:space="preserve"> do apontamento/ticket → </w:t>
            </w:r>
            <w:r>
              <w:rPr>
                <w:b/>
                <w:bCs/>
                <w:sz w:val="19"/>
                <w:szCs w:val="19"/>
              </w:rPr>
              <w:t xml:space="preserve">Módulo</w:t>
            </w:r>
            <w:r>
              <w:rPr>
                <w:b w:val="false"/>
                <w:bCs w:val="false"/>
                <w:sz w:val="19"/>
                <w:szCs w:val="19"/>
              </w:rPr>
              <w:t xml:space="preserve"> (pelo de-para) → </w:t>
            </w:r>
            <w:r>
              <w:rPr>
                <w:b/>
                <w:bCs/>
                <w:sz w:val="19"/>
                <w:szCs w:val="19"/>
              </w:rPr>
              <w:t xml:space="preserve">Banco</w:t>
            </w:r>
            <w:r>
              <w:rPr>
                <w:b w:val="false"/>
                <w:bCs w:val="false"/>
                <w:sz w:val="19"/>
                <w:szCs w:val="19"/>
              </w:rPr>
              <w:t xml:space="preserve"> cujo escopo contém o módulo ou o produto do módulo.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RN-04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 nenhum banco cobrir o módulo — ou se o grupo não tiver módulo/de-para — a hora vai para o </w:t>
            </w:r>
            <w:r>
              <w:rPr>
                <w:b/>
                <w:bCs/>
                <w:sz w:val="19"/>
                <w:szCs w:val="19"/>
              </w:rPr>
              <w:t xml:space="preserve">Banco padrão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RN-05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 mesmo módulo </w:t>
            </w:r>
            <w:r>
              <w:rPr>
                <w:b/>
                <w:bCs/>
                <w:sz w:val="19"/>
                <w:szCs w:val="19"/>
              </w:rPr>
              <w:t xml:space="preserve">não pode</w:t>
            </w:r>
            <w:r>
              <w:rPr>
                <w:b w:val="false"/>
                <w:bCs w:val="false"/>
                <w:sz w:val="19"/>
                <w:szCs w:val="19"/>
              </w:rPr>
              <w:t xml:space="preserve"> estar no escopo de dois bancos da mesma empresa. Marcar o produto inteiro equivale a marcar todos os seus módulos, inclusive os criados no futuro.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RN-06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Quando houver filtro por item de configuração, ele é avaliado junto com o escopo, na </w:t>
            </w:r>
            <w:r>
              <w:rPr>
                <w:b/>
                <w:bCs/>
                <w:sz w:val="19"/>
                <w:szCs w:val="19"/>
              </w:rPr>
              <w:t xml:space="preserve">ordem</w:t>
            </w:r>
            <w:r>
              <w:rPr>
                <w:b w:val="false"/>
                <w:bCs w:val="false"/>
                <w:sz w:val="19"/>
                <w:szCs w:val="19"/>
              </w:rPr>
              <w:t xml:space="preserve"> dos bancos definida no cadastro; vale o primeiro banco que atender.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RN-07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banco tem parâmetros </w:t>
            </w:r>
            <w:r>
              <w:rPr>
                <w:b/>
                <w:bCs/>
                <w:sz w:val="19"/>
                <w:szCs w:val="19"/>
              </w:rPr>
              <w:t xml:space="preserve">independentes</w:t>
            </w:r>
            <w:r>
              <w:rPr>
                <w:b w:val="false"/>
                <w:bCs w:val="false"/>
                <w:sz w:val="19"/>
                <w:szCs w:val="19"/>
              </w:rPr>
              <w:t xml:space="preserve">: tipo de contrato (horas, tickets ou ambos), período de apuração, início de vigência, dia de início da apuração, repasse (simples ou por período), taxa para excedentes, histórico de baseline e histórico de percentual de repasse.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RN-08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Os filtros que definem o que é hora AMS válida (grupos AMS, tipos de chamado, códigos de resolução, atividades internas) </w:t>
            </w:r>
            <w:r>
              <w:rPr>
                <w:b/>
                <w:bCs/>
                <w:sz w:val="19"/>
                <w:szCs w:val="19"/>
              </w:rPr>
              <w:t xml:space="preserve">continuam os mesmos de hoje</w:t>
            </w:r>
            <w:r>
              <w:rPr>
                <w:b w:val="false"/>
                <w:bCs w:val="false"/>
                <w:sz w:val="19"/>
                <w:szCs w:val="19"/>
              </w:rPr>
              <w:t xml:space="preserve">. A nova classificação apenas distribui essas horas entre os bancos.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RN-09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Requerimentos com cobrança "Banco de Horas" são lançados em um banco. Se a empresa tiver mais de um banco, o banco é obrigatório no formulário (com sugestão pelo módulo); se tiver um só, vai automaticamente para o Banco padrão.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RN-10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Reajustes e observações passam a ser feitos </w:t>
            </w:r>
            <w:r>
              <w:rPr>
                <w:b/>
                <w:bCs/>
                <w:sz w:val="19"/>
                <w:szCs w:val="19"/>
              </w:rPr>
              <w:t xml:space="preserve">por banco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RN-11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 </w:t>
            </w:r>
            <w:r>
              <w:rPr>
                <w:b/>
                <w:bCs/>
                <w:sz w:val="19"/>
                <w:szCs w:val="19"/>
              </w:rPr>
              <w:t xml:space="preserve">nome do banco</w:t>
            </w:r>
            <w:r>
              <w:rPr>
                <w:b w:val="false"/>
                <w:bCs w:val="false"/>
                <w:sz w:val="19"/>
                <w:szCs w:val="19"/>
              </w:rPr>
              <w:t xml:space="preserve"> é exibido ao cliente no Book, no e-mail de Saldo Parcial e no Excel. A descrição é de uso interno. O nome é editável; books já gerados mantêm o nome vigente na data de geração.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RN-12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</w:t>
            </w:r>
            <w:r>
              <w:rPr>
                <w:b/>
                <w:bCs/>
                <w:sz w:val="19"/>
                <w:szCs w:val="19"/>
              </w:rPr>
              <w:t xml:space="preserve">fechados</w:t>
            </w:r>
            <w:r>
              <w:rPr>
                <w:b w:val="false"/>
                <w:bCs w:val="false"/>
                <w:sz w:val="19"/>
                <w:szCs w:val="19"/>
              </w:rPr>
              <w:t xml:space="preserve"> (book gerado) não são alterados por mudanças posteriores no de-para, no escopo ou no nome do banco. Alterações valem a partir do próximo recálculo de meses abertos.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RN-13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alteração no de-para registra </w:t>
            </w:r>
            <w:r>
              <w:rPr>
                <w:b/>
                <w:bCs/>
                <w:sz w:val="19"/>
                <w:szCs w:val="19"/>
              </w:rPr>
              <w:t xml:space="preserve">quem alterou e quando</w:t>
            </w:r>
            <w:r>
              <w:rPr>
                <w:b w:val="false"/>
                <w:bCs w:val="false"/>
                <w:sz w:val="19"/>
                <w:szCs w:val="19"/>
              </w:rPr>
              <w:t xml:space="preserve">, pois pode mover horas entre bancos.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RN-14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 Banco padrão não pode ser inativado nem excluído enquanto a empresa tiver outros bancos ativos.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RN-15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em modelo </w:t>
            </w:r>
            <w:r>
              <w:rPr>
                <w:b/>
                <w:bCs/>
                <w:sz w:val="19"/>
                <w:szCs w:val="19"/>
              </w:rPr>
              <w:t xml:space="preserve">Legado</w:t>
            </w:r>
            <w:r>
              <w:rPr>
                <w:b w:val="false"/>
                <w:bCs w:val="false"/>
                <w:sz w:val="19"/>
                <w:szCs w:val="19"/>
              </w:rPr>
              <w:t xml:space="preserve"> continuam calculadas, exibidas e enviadas exatamente como hoje, mesmo que já tenham bancos cadastrados (os bancos ficam em validação, sem envio ao cliente).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RN-16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 Book e o Saldo Parcial continuam sendo </w:t>
            </w:r>
            <w:r>
              <w:rPr>
                <w:b/>
                <w:bCs/>
                <w:sz w:val="19"/>
                <w:szCs w:val="19"/>
              </w:rPr>
              <w:t xml:space="preserve">um envio por empresa</w:t>
            </w:r>
            <w:r>
              <w:rPr>
                <w:b w:val="false"/>
                <w:bCs w:val="false"/>
                <w:sz w:val="19"/>
                <w:szCs w:val="19"/>
              </w:rPr>
              <w:t xml:space="preserve">, para os mesmos destinatários, com </w:t>
            </w:r>
            <w:r>
              <w:rPr>
                <w:b/>
                <w:bCs/>
                <w:sz w:val="19"/>
                <w:szCs w:val="19"/>
              </w:rPr>
              <w:t xml:space="preserve">uma seção por banco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</w:tbl>
    <w:p>
      <w:pPr>
        <w:pStyle w:val="Heading2"/>
      </w:pPr>
      <w:r>
        <w:t xml:space="preserve">4.1 Consumo entre bancos</w:t>
      </w:r>
    </w:p>
    <w:p>
      <w:pPr>
        <w:spacing w:after="120" w:line="276"/>
      </w:pPr>
      <w:r>
        <w:t xml:space="preserve">Parâmetro opcional que permite a um banco, ao zerar, consumir o saldo de outros bancos da mesma empresa antes de gerar excedente.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70"/>
        <w:gridCol w:w="8568"/>
      </w:tblGrid>
      <w:tr>
        <w:trPr>
          <w:tblHeader/>
        </w:trPr>
        <w:tc>
          <w:tcPr>
            <w:tcW w:type="dxa" w:w="1070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8568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RN-17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banco possui o parâmetro </w:t>
            </w:r>
            <w:r>
              <w:rPr>
                <w:b/>
                <w:bCs/>
                <w:sz w:val="19"/>
                <w:szCs w:val="19"/>
              </w:rPr>
              <w:t xml:space="preserve">"Ao zerar, consumir saldo dos outros bancos"</w:t>
            </w:r>
            <w:r>
              <w:rPr>
                <w:b w:val="false"/>
                <w:bCs w:val="false"/>
                <w:sz w:val="19"/>
                <w:szCs w:val="19"/>
              </w:rPr>
              <w:t xml:space="preserve">, que vem </w:t>
            </w:r>
            <w:r>
              <w:rPr>
                <w:b/>
                <w:bCs/>
                <w:sz w:val="19"/>
                <w:szCs w:val="19"/>
              </w:rPr>
              <w:t xml:space="preserve">desmarcado</w:t>
            </w:r>
            <w:r>
              <w:rPr>
                <w:b w:val="false"/>
                <w:bCs w:val="false"/>
                <w:sz w:val="19"/>
                <w:szCs w:val="19"/>
              </w:rPr>
              <w:t xml:space="preserve"> por padrão. Desmarcado, o comportamento é o atual: saldo negativo no fechamento do período vira excedente.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RN-18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 consumo entre bancos acontece </w:t>
            </w:r>
            <w:r>
              <w:rPr>
                <w:b/>
                <w:bCs/>
                <w:sz w:val="19"/>
                <w:szCs w:val="19"/>
              </w:rPr>
              <w:t xml:space="preserve">somente no mês de fechamento do período de apuração</w:t>
            </w:r>
            <w:r>
              <w:rPr>
                <w:b w:val="false"/>
                <w:bCs w:val="false"/>
                <w:sz w:val="19"/>
                <w:szCs w:val="19"/>
              </w:rPr>
              <w:t xml:space="preserve">. Durante o período, o saldo negativo segue a regra atual (é repassado para o mês seguinte).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RN-19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Podem ceder saldo apenas os bancos </w:t>
            </w:r>
            <w:r>
              <w:rPr>
                <w:b/>
                <w:bCs/>
                <w:sz w:val="19"/>
                <w:szCs w:val="19"/>
              </w:rPr>
              <w:t xml:space="preserve">ativos</w:t>
            </w:r>
            <w:r>
              <w:rPr>
                <w:b w:val="false"/>
                <w:bCs w:val="false"/>
                <w:sz w:val="19"/>
                <w:szCs w:val="19"/>
              </w:rPr>
              <w:t xml:space="preserve"> da mesma empresa, com o </w:t>
            </w:r>
            <w:r>
              <w:rPr>
                <w:b/>
                <w:bCs/>
                <w:sz w:val="19"/>
                <w:szCs w:val="19"/>
              </w:rPr>
              <w:t xml:space="preserve">mesmo tipo de contrato</w:t>
            </w:r>
            <w:r>
              <w:rPr>
                <w:b w:val="false"/>
                <w:bCs w:val="false"/>
                <w:sz w:val="19"/>
                <w:szCs w:val="19"/>
              </w:rPr>
              <w:t xml:space="preserve"> (horas com horas, tickets com tickets) e o </w:t>
            </w:r>
            <w:r>
              <w:rPr>
                <w:b/>
                <w:bCs/>
                <w:sz w:val="19"/>
                <w:szCs w:val="19"/>
              </w:rPr>
              <w:t xml:space="preserve">mesmo período de apuração</w:t>
            </w:r>
            <w:r>
              <w:rPr>
                <w:b w:val="false"/>
                <w:bCs w:val="false"/>
                <w:sz w:val="19"/>
                <w:szCs w:val="19"/>
              </w:rPr>
              <w:t xml:space="preserve">, que fecham no mesmo mês. Bancos com ciclo diferente não participam.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RN-20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Os bancos que cedem são usados na </w:t>
            </w:r>
            <w:r>
              <w:rPr>
                <w:b/>
                <w:bCs/>
                <w:sz w:val="19"/>
                <w:szCs w:val="19"/>
              </w:rPr>
              <w:t xml:space="preserve">ordem do cadastro</w:t>
            </w:r>
            <w:r>
              <w:rPr>
                <w:b w:val="false"/>
                <w:bCs w:val="false"/>
                <w:sz w:val="19"/>
                <w:szCs w:val="19"/>
              </w:rPr>
              <w:t xml:space="preserve">. Cada um cede, no máximo, o seu saldo positivo do fechamento, já descontado o próprio consumo. Um banco </w:t>
            </w:r>
            <w:r>
              <w:rPr>
                <w:b/>
                <w:bCs/>
                <w:sz w:val="19"/>
                <w:szCs w:val="19"/>
              </w:rPr>
              <w:t xml:space="preserve">nunca fica negativo</w:t>
            </w:r>
            <w:r>
              <w:rPr>
                <w:b w:val="false"/>
                <w:bCs w:val="false"/>
                <w:sz w:val="19"/>
                <w:szCs w:val="19"/>
              </w:rPr>
              <w:t xml:space="preserve"> por ceder saldo.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RN-21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 mais de um banco com o parâmetro marcado estiver negativo no mesmo fechamento, eles são atendidos na ordem do cadastro.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RN-22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Só há </w:t>
            </w:r>
            <w:r>
              <w:rPr>
                <w:b/>
                <w:bCs/>
                <w:sz w:val="19"/>
                <w:szCs w:val="19"/>
              </w:rPr>
              <w:t xml:space="preserve">excedente</w:t>
            </w:r>
            <w:r>
              <w:rPr>
                <w:b w:val="false"/>
                <w:bCs w:val="false"/>
                <w:sz w:val="19"/>
                <w:szCs w:val="19"/>
              </w:rPr>
              <w:t xml:space="preserve"> quando o saldo negativo não puder ser coberto por nenhum banco elegível. O excedente fica no banco que consumiu, calculado com a taxa desse banco.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RN-23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 banco que cede, o valor cedido é descontado </w:t>
            </w:r>
            <w:r>
              <w:rPr>
                <w:b/>
                <w:bCs/>
                <w:sz w:val="19"/>
                <w:szCs w:val="19"/>
              </w:rPr>
              <w:t xml:space="preserve">antes</w:t>
            </w:r>
            <w:r>
              <w:rPr>
                <w:b w:val="false"/>
                <w:bCs w:val="false"/>
                <w:sz w:val="19"/>
                <w:szCs w:val="19"/>
              </w:rPr>
              <w:t xml:space="preserve"> da regra de fim de período (zerar o saldo positivo ou aplicar o repasse especial).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RN-24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movimentação gera </w:t>
            </w:r>
            <w:r>
              <w:rPr>
                <w:b/>
                <w:bCs/>
                <w:sz w:val="19"/>
                <w:szCs w:val="19"/>
              </w:rPr>
              <w:t xml:space="preserve">observação automática nos dois bancos</w:t>
            </w:r>
            <w:r>
              <w:rPr>
                <w:b w:val="false"/>
                <w:bCs w:val="false"/>
                <w:sz w:val="19"/>
                <w:szCs w:val="19"/>
              </w:rPr>
              <w:t xml:space="preserve">: no que consumiu ("06:30 horas consumidas do Banco FISCAL") e no que cedeu ("06:30 horas cedidas ao banco FISCAL – e-DOCS"). A observação aparece no Controle, no Book (e PDF) e nas planilhas, e não pode ser editada manualmente.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RN-25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 </w:t>
            </w:r>
            <w:r>
              <w:rPr>
                <w:b/>
                <w:bCs/>
                <w:sz w:val="19"/>
                <w:szCs w:val="19"/>
              </w:rPr>
              <w:t xml:space="preserve">Saldo Parcial</w:t>
            </w:r>
            <w:r>
              <w:rPr>
                <w:b w:val="false"/>
                <w:bCs w:val="false"/>
                <w:sz w:val="19"/>
                <w:szCs w:val="19"/>
              </w:rPr>
              <w:t xml:space="preserve"> (durante o período), quando um banco com o parâmetro marcado estiver negativo, o e-mail informa que o saldo poderá ser coberto pelos outros bancos no fechamento do período.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RN-26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Ao recalcular o mês de fechamento (enquanto aberto), a movimentação e as observações são recalculadas. Após o fechamento (book gerado), ficam congeladas (RN-12).</w:t>
            </w:r>
          </w:p>
        </w:tc>
      </w:tr>
    </w:tbl>
    <w:p>
      <w:pPr>
        <w:pStyle w:val="Heading1"/>
        <w:pageBreakBefore/>
      </w:pPr>
      <w:r>
        <w:t xml:space="preserve">5. Telas</w:t>
      </w:r>
    </w:p>
    <w:p>
      <w:pPr>
        <w:spacing w:after="120" w:line="276"/>
      </w:pPr>
      <w:r>
        <w:t xml:space="preserve">Os protótipos a seguir são ilustrativos, desenhados no padrão visual atual do Books SND, com dados fictícios. Detalhes de layout podem ser ajustados na implementação.</w:t>
      </w:r>
    </w:p>
    <w:p>
      <w:pPr>
        <w:pStyle w:val="Heading2"/>
      </w:pPr>
      <w:r>
        <w:t xml:space="preserve">5.1 Produtos e Módulos (nova)</w:t>
      </w:r>
    </w:p>
    <w:p>
      <w:pPr>
        <w:spacing w:after="120" w:line="276"/>
      </w:pPr>
      <w:r>
        <w:rPr>
          <w:b/>
          <w:bCs/>
        </w:rPr>
        <w:t xml:space="preserve">Objetivo:</w:t>
      </w:r>
      <w:r>
        <w:t xml:space="preserve"> manter o catálogo de produtos e módulos usado para definir o escopo dos bancos. </w:t>
      </w:r>
      <w:r>
        <w:rPr>
          <w:b/>
          <w:bCs/>
        </w:rPr>
        <w:t xml:space="preserve">Localização:</w:t>
      </w:r>
      <w:r>
        <w:t xml:space="preserve"> menu Cadastros › Produtos e Módulos.</w:t>
      </w:r>
    </w:p>
    <w:p>
      <w:pPr>
        <w:spacing w:after="0" w:before="120"/>
        <w:jc w:val="center"/>
      </w:pPr>
      <w:r>
        <w:drawing>
          <wp:inline distT="0" distB="0" distL="0" distR="0">
            <wp:extent cx="6096000" cy="3314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2 — Tela Produtos e Módulos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570"/>
        <w:gridCol w:w="4069"/>
        <w:gridCol w:w="2999"/>
      </w:tblGrid>
      <w:tr>
        <w:trPr>
          <w:tblHeader/>
        </w:trPr>
        <w:tc>
          <w:tcPr>
            <w:tcW w:type="dxa" w:w="2570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4069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2999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Regras</w:t>
            </w:r>
          </w:p>
        </w:tc>
      </w:tr>
      <w:tr>
        <w:tc>
          <w:tcPr>
            <w:tcW w:type="dxa" w:w="25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 — Nome</w:t>
            </w:r>
          </w:p>
        </w:tc>
        <w:tc>
          <w:tcPr>
            <w:tcW w:type="dxa" w:w="406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do produto (ex.: COMEX)</w:t>
            </w:r>
          </w:p>
        </w:tc>
        <w:tc>
          <w:tcPr>
            <w:tcW w:type="dxa" w:w="299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Obrigatório, único</w:t>
            </w:r>
          </w:p>
        </w:tc>
      </w:tr>
      <w:tr>
        <w:tc>
          <w:tcPr>
            <w:tcW w:type="dxa" w:w="25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 — Descrição / Status</w:t>
            </w:r>
          </w:p>
        </w:tc>
        <w:tc>
          <w:tcPr>
            <w:tcW w:type="dxa" w:w="406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livre; Ativo ou Inativo</w:t>
            </w:r>
          </w:p>
        </w:tc>
        <w:tc>
          <w:tcPr>
            <w:tcW w:type="dxa" w:w="299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 inativo não aparece para novos escopos</w:t>
            </w:r>
          </w:p>
        </w:tc>
      </w:tr>
      <w:tr>
        <w:tc>
          <w:tcPr>
            <w:tcW w:type="dxa" w:w="25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Módulo — Produto</w:t>
            </w:r>
          </w:p>
        </w:tc>
        <w:tc>
          <w:tcPr>
            <w:tcW w:type="dxa" w:w="406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 ao qual o módulo pertence</w:t>
            </w:r>
          </w:p>
        </w:tc>
        <w:tc>
          <w:tcPr>
            <w:tcW w:type="dxa" w:w="299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</w:t>
            </w:r>
          </w:p>
        </w:tc>
      </w:tr>
      <w:tr>
        <w:tc>
          <w:tcPr>
            <w:tcW w:type="dxa" w:w="25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Módulo — Nome / Descrição</w:t>
            </w:r>
          </w:p>
        </w:tc>
        <w:tc>
          <w:tcPr>
            <w:tcW w:type="dxa" w:w="406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do módulo (ex.: Câmbio) e descrição</w:t>
            </w:r>
          </w:p>
        </w:tc>
        <w:tc>
          <w:tcPr>
            <w:tcW w:type="dxa" w:w="299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obrigatório e único dentro do produto</w:t>
            </w:r>
          </w:p>
        </w:tc>
      </w:tr>
      <w:tr>
        <w:tc>
          <w:tcPr>
            <w:tcW w:type="dxa" w:w="25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Módulo — Status</w:t>
            </w:r>
          </w:p>
        </w:tc>
        <w:tc>
          <w:tcPr>
            <w:tcW w:type="dxa" w:w="406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Ativo ou Inativo</w:t>
            </w:r>
          </w:p>
        </w:tc>
        <w:tc>
          <w:tcPr>
            <w:tcW w:type="dxa" w:w="299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é possível inativar módulo que esteja no escopo de algum banco ativo sem confirmação</w:t>
            </w:r>
          </w:p>
        </w:tc>
      </w:tr>
      <w:tr>
        <w:tc>
          <w:tcPr>
            <w:tcW w:type="dxa" w:w="25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Grupos Aranda vinculados</w:t>
            </w:r>
          </w:p>
        </w:tc>
        <w:tc>
          <w:tcPr>
            <w:tcW w:type="dxa" w:w="406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 dos grupos do de-para ligados ao módulo, com opção "+ vincular grupo"</w:t>
            </w:r>
          </w:p>
        </w:tc>
        <w:tc>
          <w:tcPr>
            <w:tcW w:type="dxa" w:w="299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Um grupo pertence a no máximo um módulo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Ações:</w:t>
      </w:r>
      <w:r>
        <w:t xml:space="preserve"> novo produto, novo módulo, editar, inativar, vincular/desvincular grupos Aranda. </w:t>
      </w:r>
      <w:r>
        <w:rPr>
          <w:b/>
          <w:bCs/>
        </w:rPr>
        <w:t xml:space="preserve">Carga inicial:</w:t>
      </w:r>
      <w:r>
        <w:t xml:space="preserve"> produtos e módulos gerados automaticamente a partir dos 64 grupos do Book existentes (ex.: "COMEX - Câmbio" → produto COMEX, módulo Câmbio), todos editáveis.</w:t>
      </w:r>
    </w:p>
    <w:p>
      <w:pPr>
        <w:pStyle w:val="Heading2"/>
      </w:pPr>
      <w:r>
        <w:t xml:space="preserve">5.2 De-para de Grupos Aranda (nova)</w:t>
      </w:r>
    </w:p>
    <w:p>
      <w:pPr>
        <w:spacing w:after="120" w:line="276"/>
      </w:pPr>
      <w:r>
        <w:rPr>
          <w:b/>
          <w:bCs/>
        </w:rPr>
        <w:t xml:space="preserve">Objetivo:</w:t>
      </w:r>
      <w:r>
        <w:t xml:space="preserve"> dar manutenção ao vínculo entre cada grupo de atendimento do Aranda, o Grupo do Book e o Módulo — hoje feito apenas direto no banco de dados. </w:t>
      </w:r>
      <w:r>
        <w:rPr>
          <w:b/>
          <w:bCs/>
        </w:rPr>
        <w:t xml:space="preserve">Localização:</w:t>
      </w:r>
      <w:r>
        <w:t xml:space="preserve"> menu Cadastros › De-para de Grupos.</w:t>
      </w:r>
    </w:p>
    <w:p>
      <w:pPr>
        <w:spacing w:after="0" w:before="120"/>
        <w:jc w:val="center"/>
      </w:pPr>
      <w:r>
        <w:drawing>
          <wp:inline distT="0" distB="0" distL="0" distR="0">
            <wp:extent cx="6096000" cy="41243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3 — De-para de Grupos: aba Mapeamentos, com atribuição de módulo em lote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141"/>
        <w:gridCol w:w="7497"/>
      </w:tblGrid>
      <w:tr>
        <w:trPr>
          <w:tblHeader/>
        </w:trPr>
        <w:tc>
          <w:tcPr>
            <w:tcW w:type="dxa" w:w="2141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497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14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Indicadores</w:t>
            </w:r>
          </w:p>
        </w:tc>
        <w:tc>
          <w:tcPr>
            <w:tcW w:type="dxa" w:w="749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 de grupos mapeados, com módulo, sem módulo (vão para o Banco padrão) e grupos não mapeados que já têm apontamentos.</w:t>
            </w:r>
          </w:p>
        </w:tc>
      </w:tr>
      <w:tr>
        <w:tc>
          <w:tcPr>
            <w:tcW w:type="dxa" w:w="214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Filtros</w:t>
            </w:r>
          </w:p>
        </w:tc>
        <w:tc>
          <w:tcPr>
            <w:tcW w:type="dxa" w:w="749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Busca por texto (Grupo Aranda ou Grupo Book), Produto, Módulo e Situação (com módulo, sem módulo, não se aplica).</w:t>
            </w:r>
          </w:p>
        </w:tc>
      </w:tr>
      <w:tr>
        <w:tc>
          <w:tcPr>
            <w:tcW w:type="dxa" w:w="214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Colunas</w:t>
            </w:r>
          </w:p>
        </w:tc>
        <w:tc>
          <w:tcPr>
            <w:tcW w:type="dxa" w:w="749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Aranda, Grupo Book, Produto, Módulo, quantidade de apontamentos nos últimos 6 meses, data e usuário da última alteração.</w:t>
            </w:r>
          </w:p>
        </w:tc>
      </w:tr>
      <w:tr>
        <w:tc>
          <w:tcPr>
            <w:tcW w:type="dxa" w:w="214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Ações por linha</w:t>
            </w:r>
          </w:p>
        </w:tc>
        <w:tc>
          <w:tcPr>
            <w:tcW w:type="dxa" w:w="749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Editar e excluir.</w:t>
            </w:r>
          </w:p>
        </w:tc>
      </w:tr>
      <w:tr>
        <w:tc>
          <w:tcPr>
            <w:tcW w:type="dxa" w:w="214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Ações em lote</w:t>
            </w:r>
          </w:p>
        </w:tc>
        <w:tc>
          <w:tcPr>
            <w:tcW w:type="dxa" w:w="749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Selecionar vários grupos e atribuir um módulo de uma só vez.</w:t>
            </w:r>
          </w:p>
        </w:tc>
      </w:tr>
      <w:tr>
        <w:tc>
          <w:tcPr>
            <w:tcW w:type="dxa" w:w="214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Exportar</w:t>
            </w:r>
          </w:p>
        </w:tc>
        <w:tc>
          <w:tcPr>
            <w:tcW w:type="dxa" w:w="749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Exporta a lista filtrada para Excel.</w:t>
            </w:r>
          </w:p>
        </w:tc>
      </w:tr>
    </w:tbl>
    <w:p>
      <w:pPr>
        <w:spacing w:after="0" w:before="120"/>
        <w:jc w:val="center"/>
      </w:pPr>
      <w:r>
        <w:drawing>
          <wp:inline distT="0" distB="0" distL="0" distR="0">
            <wp:extent cx="5334000" cy="16668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4 — Aba Grupos não mapeados</w:t>
      </w:r>
    </w:p>
    <w:p>
      <w:pPr>
        <w:spacing w:after="120" w:line="276"/>
      </w:pPr>
      <w:r>
        <w:t xml:space="preserve">A aba </w:t>
      </w:r>
      <w:r>
        <w:rPr>
          <w:b/>
          <w:bCs/>
        </w:rPr>
        <w:t xml:space="preserve">Grupos não mapeados</w:t>
      </w:r>
      <w:r>
        <w:t xml:space="preserve"> lista os grupos AMS que aparecem nos apontamentos ou tickets e ainda não estão no de-para, com a quantidade de apontamentos, empresas afetadas e a data do primeiro apontamento. O botão </w:t>
      </w:r>
      <w:r>
        <w:rPr>
          <w:b/>
          <w:bCs/>
        </w:rPr>
        <w:t xml:space="preserve">Mapear</w:t>
      </w:r>
      <w:r>
        <w:t xml:space="preserve"> abre o cadastro já preenchido com o grupo.</w:t>
      </w:r>
    </w:p>
    <w:p>
      <w:pPr>
        <w:spacing w:after="0" w:before="120"/>
        <w:jc w:val="center"/>
      </w:pPr>
      <w:r>
        <w:drawing>
          <wp:inline distT="0" distB="0" distL="0" distR="0">
            <wp:extent cx="4762500" cy="33623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5 — Edição de um mapeamento, com aviso de impacto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141"/>
        <w:gridCol w:w="4283"/>
        <w:gridCol w:w="3214"/>
      </w:tblGrid>
      <w:tr>
        <w:trPr>
          <w:tblHeader/>
        </w:trPr>
        <w:tc>
          <w:tcPr>
            <w:tcW w:type="dxa" w:w="2141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4283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3214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Regras</w:t>
            </w:r>
          </w:p>
        </w:tc>
      </w:tr>
      <w:tr>
        <w:tc>
          <w:tcPr>
            <w:tcW w:type="dxa" w:w="214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Aranda</w:t>
            </w:r>
          </w:p>
        </w:tc>
        <w:tc>
          <w:tcPr>
            <w:tcW w:type="dxa" w:w="428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exatamente como vem do Aranda</w:t>
            </w:r>
          </w:p>
        </w:tc>
        <w:tc>
          <w:tcPr>
            <w:tcW w:type="dxa" w:w="321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Obrigatório, único</w:t>
            </w:r>
          </w:p>
        </w:tc>
      </w:tr>
      <w:tr>
        <w:tc>
          <w:tcPr>
            <w:tcW w:type="dxa" w:w="214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Book</w:t>
            </w:r>
          </w:p>
        </w:tc>
        <w:tc>
          <w:tcPr>
            <w:tcW w:type="dxa" w:w="428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exibido no Book, Elogios, Pesquisas e Dashboard</w:t>
            </w:r>
          </w:p>
        </w:tc>
        <w:tc>
          <w:tcPr>
            <w:tcW w:type="dxa" w:w="321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</w:t>
            </w:r>
          </w:p>
        </w:tc>
      </w:tr>
      <w:tr>
        <w:tc>
          <w:tcPr>
            <w:tcW w:type="dxa" w:w="214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 / Módulo</w:t>
            </w:r>
          </w:p>
        </w:tc>
        <w:tc>
          <w:tcPr>
            <w:tcW w:type="dxa" w:w="428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Selecionados a partir do cadastro de Produtos e Módulos</w:t>
            </w:r>
          </w:p>
        </w:tc>
        <w:tc>
          <w:tcPr>
            <w:tcW w:type="dxa" w:w="321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Opcional — sem módulo, as horas vão para o Banco padrão</w:t>
            </w:r>
          </w:p>
        </w:tc>
      </w:tr>
    </w:tbl>
    <w:tbl>
      <w:tblPr>
        <w:tblW w:type="dxa" w:w="9638"/>
        <w:tblBorders>
          <w:top w:val="none" w:color="FFFFFF" w:sz="0"/>
          <w:left w:val="single" w:color="B4530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FFBEB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45309"/>
                <w:sz w:val="20"/>
                <w:szCs w:val="20"/>
              </w:rPr>
              <w:t xml:space="preserve">Aviso de impacto exibido antes de salvar</w:t>
            </w:r>
          </w:p>
          <w:p>
            <w:pPr>
              <w:spacing w:after="20" w:line="264"/>
            </w:pPr>
            <w:r>
              <w:rPr>
                <w:sz w:val="20"/>
                <w:szCs w:val="20"/>
              </w:rPr>
              <w:t xml:space="preserve">Alterar o </w:t>
            </w:r>
            <w:r>
              <w:rPr>
                <w:b/>
                <w:bCs/>
                <w:sz w:val="20"/>
                <w:szCs w:val="20"/>
              </w:rPr>
              <w:t xml:space="preserve">Grupo Book</w:t>
            </w:r>
            <w:r>
              <w:rPr>
                <w:sz w:val="20"/>
                <w:szCs w:val="20"/>
              </w:rPr>
              <w:t xml:space="preserve"> muda a exibição em Book, Elogios, Pesquisas e Dashboard.</w:t>
            </w:r>
          </w:p>
          <w:p>
            <w:pPr>
              <w:spacing w:after="20" w:line="264"/>
            </w:pPr>
            <w:r>
              <w:rPr>
                <w:sz w:val="20"/>
                <w:szCs w:val="20"/>
              </w:rPr>
              <w:t xml:space="preserve">Alterar o </w:t>
            </w:r>
            <w:r>
              <w:rPr>
                <w:b/>
                <w:bCs/>
                <w:sz w:val="20"/>
                <w:szCs w:val="20"/>
              </w:rPr>
              <w:t xml:space="preserve">Módulo</w:t>
            </w:r>
            <w:r>
              <w:rPr>
                <w:sz w:val="20"/>
                <w:szCs w:val="20"/>
              </w:rPr>
              <w:t xml:space="preserve"> pode mover horas entre bancos das empresas que usam bancos múltiplos, a partir do próximo recálculo. Meses já fechados não são alterados.</w:t>
            </w:r>
          </w:p>
        </w:tc>
      </w:tr>
    </w:tbl>
    <w:p>
      <w:pPr>
        <w:pStyle w:val="Heading2"/>
      </w:pPr>
      <w:r>
        <w:t xml:space="preserve">5.3 Cadastro da Empresa › Bancos de Horas (nova aba)</w:t>
      </w:r>
    </w:p>
    <w:p>
      <w:pPr>
        <w:spacing w:after="120" w:line="276"/>
      </w:pPr>
      <w:r>
        <w:rPr>
          <w:b/>
          <w:bCs/>
        </w:rPr>
        <w:t xml:space="preserve">Objetivo:</w:t>
      </w:r>
      <w:r>
        <w:t xml:space="preserve"> cadastrar e manter os bancos de horas da empresa. </w:t>
      </w:r>
      <w:r>
        <w:rPr>
          <w:b/>
          <w:bCs/>
        </w:rPr>
        <w:t xml:space="preserve">Localização:</w:t>
      </w:r>
      <w:r>
        <w:t xml:space="preserve"> Cadastros › Empresas Clientes › Editar › aba </w:t>
      </w:r>
      <w:r>
        <w:rPr>
          <w:b/>
          <w:bCs/>
        </w:rPr>
        <w:t xml:space="preserve">Bancos de Horas</w:t>
      </w:r>
      <w:r>
        <w:t xml:space="preserve">. A aba atual de parâmetros permanece (identificada como "legado") enquanto a empresa não for migrada.</w:t>
      </w:r>
    </w:p>
    <w:p>
      <w:pPr>
        <w:spacing w:after="0" w:before="120"/>
        <w:jc w:val="center"/>
      </w:pPr>
      <w:r>
        <w:drawing>
          <wp:inline distT="0" distB="0" distL="0" distR="0">
            <wp:extent cx="6096000" cy="30480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6 — Lista de bancos da empresa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Cada banco aparece como um cartão com nome, descrição, parâmetros principais e escopo.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 selo </w:t>
      </w:r>
      <w:r>
        <w:rPr>
          <w:b/>
          <w:bCs/>
        </w:rPr>
        <w:t xml:space="preserve">Modelo de cálculo</w:t>
      </w:r>
      <w:r>
        <w:t xml:space="preserve"> indica se a empresa ainda está em </w:t>
      </w:r>
      <w:r>
        <w:rPr>
          <w:b/>
          <w:bCs/>
        </w:rPr>
        <w:t xml:space="preserve">Legado (em validação)</w:t>
      </w:r>
      <w:r>
        <w:t xml:space="preserve"> ou já em </w:t>
      </w:r>
      <w:r>
        <w:rPr>
          <w:b/>
          <w:bCs/>
        </w:rPr>
        <w:t xml:space="preserve">Bancos múltiplos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Criar a partir dos parâmetros atuais</w:t>
      </w:r>
      <w:r>
        <w:t xml:space="preserve"> gera automaticamente o Banco padrão copiando a parametrização legado da empresa — é o ponto de partida da migração.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 ordem dos cartões define a prioridade de classificação (RN-06).</w:t>
      </w:r>
    </w:p>
    <w:p>
      <w:pPr>
        <w:spacing w:after="0" w:before="120"/>
        <w:jc w:val="center"/>
      </w:pPr>
      <w:r>
        <w:drawing>
          <wp:inline distT="0" distB="0" distL="0" distR="0">
            <wp:extent cx="6096000" cy="72009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7 — Cadastro/edição de um banco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463"/>
        <w:gridCol w:w="3962"/>
        <w:gridCol w:w="3213"/>
      </w:tblGrid>
      <w:tr>
        <w:trPr>
          <w:tblHeader/>
        </w:trPr>
        <w:tc>
          <w:tcPr>
            <w:tcW w:type="dxa" w:w="2463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Seção / Campo</w:t>
            </w:r>
          </w:p>
        </w:tc>
        <w:tc>
          <w:tcPr>
            <w:tcW w:type="dxa" w:w="396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3213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Regras</w:t>
            </w:r>
          </w:p>
        </w:tc>
      </w:tr>
      <w:tr>
        <w:tc>
          <w:tcPr>
            <w:tcW w:type="dxa" w:w="24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do banco</w:t>
            </w:r>
          </w:p>
        </w:tc>
        <w:tc>
          <w:tcPr>
            <w:tcW w:type="dxa" w:w="39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exibido ao cliente</w:t>
            </w:r>
          </w:p>
        </w:tc>
        <w:tc>
          <w:tcPr>
            <w:tcW w:type="dxa" w:w="32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Obrigatório, único na empresa, editável</w:t>
            </w:r>
          </w:p>
        </w:tc>
      </w:tr>
      <w:tr>
        <w:tc>
          <w:tcPr>
            <w:tcW w:type="dxa" w:w="24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39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de uso interno</w:t>
            </w:r>
          </w:p>
        </w:tc>
        <w:tc>
          <w:tcPr>
            <w:tcW w:type="dxa" w:w="32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Opcional, editável</w:t>
            </w:r>
          </w:p>
        </w:tc>
      </w:tr>
      <w:tr>
        <w:tc>
          <w:tcPr>
            <w:tcW w:type="dxa" w:w="24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padrão</w:t>
            </w:r>
          </w:p>
        </w:tc>
        <w:tc>
          <w:tcPr>
            <w:tcW w:type="dxa" w:w="39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Marca o banco que recebe o restante</w:t>
            </w:r>
          </w:p>
        </w:tc>
        <w:tc>
          <w:tcPr>
            <w:tcW w:type="dxa" w:w="32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Exatamente um por empresa; não tem escopo</w:t>
            </w:r>
          </w:p>
        </w:tc>
      </w:tr>
      <w:tr>
        <w:tc>
          <w:tcPr>
            <w:tcW w:type="dxa" w:w="24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Ativo</w:t>
            </w:r>
          </w:p>
        </w:tc>
        <w:tc>
          <w:tcPr>
            <w:tcW w:type="dxa" w:w="39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Ativa/inativa o banco</w:t>
            </w:r>
          </w:p>
        </w:tc>
        <w:tc>
          <w:tcPr>
            <w:tcW w:type="dxa" w:w="32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Ver RN-14</w:t>
            </w:r>
          </w:p>
        </w:tc>
      </w:tr>
      <w:tr>
        <w:tc>
          <w:tcPr>
            <w:tcW w:type="dxa" w:w="24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 de contrato</w:t>
            </w:r>
          </w:p>
        </w:tc>
        <w:tc>
          <w:tcPr>
            <w:tcW w:type="dxa" w:w="39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Horas, Tickets ou Ambos</w:t>
            </w:r>
          </w:p>
        </w:tc>
        <w:tc>
          <w:tcPr>
            <w:tcW w:type="dxa" w:w="32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</w:t>
            </w:r>
          </w:p>
        </w:tc>
      </w:tr>
      <w:tr>
        <w:tc>
          <w:tcPr>
            <w:tcW w:type="dxa" w:w="24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Período de apuração</w:t>
            </w:r>
          </w:p>
        </w:tc>
        <w:tc>
          <w:tcPr>
            <w:tcW w:type="dxa" w:w="39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Mensal, trimestral, semestral, anual etc.</w:t>
            </w:r>
          </w:p>
        </w:tc>
        <w:tc>
          <w:tcPr>
            <w:tcW w:type="dxa" w:w="32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</w:t>
            </w:r>
          </w:p>
        </w:tc>
      </w:tr>
      <w:tr>
        <w:tc>
          <w:tcPr>
            <w:tcW w:type="dxa" w:w="24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Início de vigência</w:t>
            </w:r>
          </w:p>
        </w:tc>
        <w:tc>
          <w:tcPr>
            <w:tcW w:type="dxa" w:w="39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início do banco</w:t>
            </w:r>
          </w:p>
        </w:tc>
        <w:tc>
          <w:tcPr>
            <w:tcW w:type="dxa" w:w="32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</w:t>
            </w:r>
          </w:p>
        </w:tc>
      </w:tr>
      <w:tr>
        <w:tc>
          <w:tcPr>
            <w:tcW w:type="dxa" w:w="24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Dia de início da apuração</w:t>
            </w:r>
          </w:p>
        </w:tc>
        <w:tc>
          <w:tcPr>
            <w:tcW w:type="dxa" w:w="39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Para apurações que não seguem o mês civil</w:t>
            </w:r>
          </w:p>
        </w:tc>
        <w:tc>
          <w:tcPr>
            <w:tcW w:type="dxa" w:w="32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Opcional</w:t>
            </w:r>
          </w:p>
        </w:tc>
      </w:tr>
      <w:tr>
        <w:tc>
          <w:tcPr>
            <w:tcW w:type="dxa" w:w="24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para excedentes</w:t>
            </w:r>
          </w:p>
        </w:tc>
        <w:tc>
          <w:tcPr>
            <w:tcW w:type="dxa" w:w="39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Qual taxa do cliente usar (Gallery ou Outros)</w:t>
            </w:r>
          </w:p>
        </w:tc>
        <w:tc>
          <w:tcPr>
            <w:tcW w:type="dxa" w:w="32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</w:t>
            </w:r>
          </w:p>
        </w:tc>
      </w:tr>
      <w:tr>
        <w:tc>
          <w:tcPr>
            <w:tcW w:type="dxa" w:w="24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Repasse especial</w:t>
            </w:r>
          </w:p>
        </w:tc>
        <w:tc>
          <w:tcPr>
            <w:tcW w:type="dxa" w:w="39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Simples ou por período, com seus percentuais</w:t>
            </w:r>
          </w:p>
        </w:tc>
        <w:tc>
          <w:tcPr>
            <w:tcW w:type="dxa" w:w="32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Mesmas regras de hoje, por banco</w:t>
            </w:r>
          </w:p>
        </w:tc>
      </w:tr>
      <w:tr>
        <w:tc>
          <w:tcPr>
            <w:tcW w:type="dxa" w:w="24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Baseline / % de repasse</w:t>
            </w:r>
          </w:p>
        </w:tc>
        <w:tc>
          <w:tcPr>
            <w:tcW w:type="dxa" w:w="39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 histórico de vigências ("Gerenciar")</w:t>
            </w:r>
          </w:p>
        </w:tc>
        <w:tc>
          <w:tcPr>
            <w:tcW w:type="dxa" w:w="32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Mesmo funcionamento atual, por banco</w:t>
            </w:r>
          </w:p>
        </w:tc>
      </w:tr>
      <w:tr>
        <w:tc>
          <w:tcPr>
            <w:tcW w:type="dxa" w:w="24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</w:t>
            </w:r>
          </w:p>
        </w:tc>
        <w:tc>
          <w:tcPr>
            <w:tcW w:type="dxa" w:w="39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Árvore Produto › Módulos com caixas de seleção</w:t>
            </w:r>
          </w:p>
        </w:tc>
        <w:tc>
          <w:tcPr>
            <w:tcW w:type="dxa" w:w="32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Produtos/módulos já usados em outro banco ficam bloqueados (RN-05)</w:t>
            </w:r>
          </w:p>
        </w:tc>
      </w:tr>
      <w:tr>
        <w:tc>
          <w:tcPr>
            <w:tcW w:type="dxa" w:w="24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Filtro avançado</w:t>
            </w:r>
          </w:p>
        </w:tc>
        <w:tc>
          <w:tcPr>
            <w:tcW w:type="dxa" w:w="39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 de configuração "contém" ou "igual a" um valor</w:t>
            </w:r>
          </w:p>
        </w:tc>
        <w:tc>
          <w:tcPr>
            <w:tcW w:type="dxa" w:w="32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Opcional; usado em divisões por unidade (ex.: ANGLO)</w:t>
            </w:r>
          </w:p>
        </w:tc>
      </w:tr>
      <w:tr>
        <w:tc>
          <w:tcPr>
            <w:tcW w:type="dxa" w:w="24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Ao zerar, consumir saldo dos outros bancos</w:t>
            </w:r>
          </w:p>
        </w:tc>
        <w:tc>
          <w:tcPr>
            <w:tcW w:type="dxa" w:w="39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Liga o consumo entre bancos no fechamento do período (seção 4.1). Ao lado, a lista dos bancos que podem ceder saldo e o motivo dos que não podem</w:t>
            </w:r>
          </w:p>
        </w:tc>
        <w:tc>
          <w:tcPr>
            <w:tcW w:type="dxa" w:w="32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Desmarcado por padrão; só pode ser marcado se houver ao menos um banco elegível (RN-19)</w:t>
            </w:r>
          </w:p>
        </w:tc>
      </w:tr>
    </w:tbl>
    <w:tbl>
      <w:tblPr>
        <w:tblW w:type="dxa" w:w="9638"/>
        <w:tblBorders>
          <w:top w:val="none" w:color="FFFFFF" w:sz="0"/>
          <w:left w:val="single" w:color="2563E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FF6FF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E3A8A"/>
                <w:sz w:val="20"/>
                <w:szCs w:val="20"/>
              </w:rPr>
              <w:t xml:space="preserve">Validações ao salvar</w:t>
            </w:r>
          </w:p>
          <w:p>
            <w:pPr>
              <w:spacing w:after="20" w:line="264"/>
            </w:pPr>
            <w:r>
              <w:rPr>
                <w:sz w:val="20"/>
                <w:szCs w:val="20"/>
              </w:rPr>
              <w:t xml:space="preserve">Nome obrigatório e único na empresa; parâmetros obrigatórios preenchidos.</w:t>
            </w:r>
          </w:p>
          <w:p>
            <w:pPr>
              <w:spacing w:after="20" w:line="264"/>
            </w:pPr>
            <w:r>
              <w:rPr>
                <w:sz w:val="20"/>
                <w:szCs w:val="20"/>
              </w:rPr>
              <w:t xml:space="preserve">Escopo sem conflito com outros bancos (mensagem "Sem conflito" ou indicação do banco que já cobre o módulo).</w:t>
            </w:r>
          </w:p>
          <w:p>
            <w:pPr>
              <w:spacing w:after="20" w:line="264"/>
            </w:pPr>
            <w:r>
              <w:rPr>
                <w:sz w:val="20"/>
                <w:szCs w:val="20"/>
              </w:rPr>
              <w:t xml:space="preserve">Banco que não é padrão precisa ter pelo menos um produto, módulo ou filtro avançado.</w:t>
            </w:r>
          </w:p>
          <w:p>
            <w:pPr>
              <w:spacing w:after="20" w:line="264"/>
            </w:pPr>
            <w:r>
              <w:rPr>
                <w:sz w:val="20"/>
                <w:szCs w:val="20"/>
              </w:rPr>
              <w:t xml:space="preserve">Consumo entre bancos: se nenhum outro banco for elegível (mesmo tipo de contrato e mesmo período de apuração), o parâmetro não pode ser marcado e o sistema explica o motivo. Se o período de apuração de um banco for alterado depois, o sistema avisa quais bancos deixam de ser elegíveis.</w:t>
            </w:r>
          </w:p>
        </w:tc>
      </w:tr>
    </w:tbl>
    <w:p>
      <w:pPr>
        <w:pStyle w:val="Heading2"/>
      </w:pPr>
      <w:r>
        <w:t xml:space="preserve">5.4 Formulário de Requerimento (alteração)</w:t>
      </w:r>
    </w:p>
    <w:p>
      <w:pPr>
        <w:spacing w:after="120" w:line="276"/>
      </w:pPr>
      <w:r>
        <w:t xml:space="preserve">Os campos atuais permanecem iguais. É incluído o campo </w:t>
      </w:r>
      <w:r>
        <w:rPr>
          <w:b/>
          <w:bCs/>
        </w:rPr>
        <w:t xml:space="preserve">Banco de Horas</w:t>
      </w:r>
      <w:r>
        <w:t xml:space="preserve">, exibido apenas quando o cliente tiver mais de um banco e o tipo de cobrança for "Banco de Horas".</w:t>
      </w:r>
    </w:p>
    <w:p>
      <w:pPr>
        <w:spacing w:after="0" w:before="120"/>
        <w:jc w:val="center"/>
      </w:pPr>
      <w:r>
        <w:drawing>
          <wp:inline distT="0" distB="0" distL="0" distR="0">
            <wp:extent cx="4953000" cy="36861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8 — Novo campo Banco de Horas no requerimento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 sistema </w:t>
      </w:r>
      <w:r>
        <w:rPr>
          <w:b/>
          <w:bCs/>
        </w:rPr>
        <w:t xml:space="preserve">sugere</w:t>
      </w:r>
      <w:r>
        <w:t xml:space="preserve"> o banco a partir do módulo do requerimento; o usuário pode alterar.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Para clientes com um único banco, o campo não aparece e o requerimento vai para o Banco padrão.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Vale para o formulário individual e para o lançamento múltiplo.</w:t>
      </w:r>
    </w:p>
    <w:p>
      <w:pPr>
        <w:pStyle w:val="Heading2"/>
      </w:pPr>
      <w:r>
        <w:t xml:space="preserve">5.5 Controle de Banco de Horas (alteração)</w:t>
      </w:r>
    </w:p>
    <w:p>
      <w:pPr>
        <w:spacing w:after="120" w:line="276"/>
      </w:pPr>
      <w:r>
        <w:t xml:space="preserve">Para empresas em </w:t>
      </w:r>
      <w:r>
        <w:rPr>
          <w:b/>
          <w:bCs/>
        </w:rPr>
        <w:t xml:space="preserve">Bancos múltiplos</w:t>
      </w:r>
      <w:r>
        <w:t xml:space="preserve">, a tela passa a exibir </w:t>
      </w:r>
      <w:r>
        <w:rPr>
          <w:b/>
          <w:bCs/>
        </w:rPr>
        <w:t xml:space="preserve">uma aba por banco</w:t>
      </w:r>
      <w:r>
        <w:t xml:space="preserve">, com o nome do banco, o escopo e o mesmo quadro mensal de hoje. Para empresas em Legado — ou com um único banco — a tela permanece como está.</w:t>
      </w:r>
    </w:p>
    <w:p>
      <w:pPr>
        <w:spacing w:after="0" w:before="120"/>
        <w:jc w:val="center"/>
      </w:pPr>
      <w:r>
        <w:drawing>
          <wp:inline distT="0" distB="0" distL="0" distR="0">
            <wp:extent cx="6096000" cy="32289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9 — Controle de Banco de Horas com abas por banco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Histórico, reajustes, observações, recálculo e envio manual de Saldo Parcial passam a atuar sobre o banco selecionado (o envio manual envia o e-mail da empresa com todos os bancos).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Contratos do tipo "Ambos" mantêm a separação atual entre horas e tickets dentro do banco.</w:t>
      </w:r>
    </w:p>
    <w:p>
      <w:pPr>
        <w:pStyle w:val="Heading3"/>
      </w:pPr>
      <w:r>
        <w:t xml:space="preserve">Mês de fechamento com consumo entre bancos</w:t>
      </w:r>
    </w:p>
    <w:p>
      <w:pPr>
        <w:spacing w:after="120" w:line="276"/>
      </w:pPr>
      <w:r>
        <w:t xml:space="preserve">No mês de fechamento do período, o quadro ganha as linhas </w:t>
      </w:r>
      <w:r>
        <w:rPr>
          <w:b/>
          <w:bCs/>
        </w:rPr>
        <w:t xml:space="preserve">Consumido de outros bancos</w:t>
      </w:r>
      <w:r>
        <w:t xml:space="preserve"> (no banco que recebeu) ou </w:t>
      </w:r>
      <w:r>
        <w:rPr>
          <w:b/>
          <w:bCs/>
        </w:rPr>
        <w:t xml:space="preserve">Cedido a outros bancos</w:t>
      </w:r>
      <w:r>
        <w:t xml:space="preserve"> (no banco que cedeu) e </w:t>
      </w:r>
      <w:r>
        <w:rPr>
          <w:b/>
          <w:bCs/>
        </w:rPr>
        <w:t xml:space="preserve">Saldo após consumo entre bancos</w:t>
      </w:r>
      <w:r>
        <w:t xml:space="preserve">, seguidas da observação automática.</w:t>
      </w:r>
    </w:p>
    <w:p>
      <w:pPr>
        <w:spacing w:after="0" w:before="120"/>
        <w:jc w:val="center"/>
      </w:pPr>
      <w:r>
        <w:drawing>
          <wp:inline distT="0" distB="0" distL="0" distR="0">
            <wp:extent cx="6096000" cy="44481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10 — Fechamento do período com consumo entre bancos: banco que consumiu (acima) e banco que cedeu (abaixo)</w:t>
      </w:r>
    </w:p>
    <w:p>
      <w:pPr>
        <w:pStyle w:val="Heading2"/>
      </w:pPr>
      <w:r>
        <w:t xml:space="preserve">5.6 Comparação Legado x Novo (nova)</w:t>
      </w:r>
    </w:p>
    <w:p>
      <w:pPr>
        <w:spacing w:after="120" w:line="276"/>
      </w:pPr>
      <w:r>
        <w:rPr>
          <w:b/>
          <w:bCs/>
        </w:rPr>
        <w:t xml:space="preserve">Objetivo:</w:t>
      </w:r>
      <w:r>
        <w:t xml:space="preserve"> validar o novo cálculo antes de liberar cada empresa, comparando o resultado do modelo atual com o do novo modelo calculado "em sombra". </w:t>
      </w:r>
      <w:r>
        <w:rPr>
          <w:b/>
          <w:bCs/>
        </w:rPr>
        <w:t xml:space="preserve">Localização:</w:t>
      </w:r>
      <w:r>
        <w:t xml:space="preserve"> menu Banco de Horas › Comparação Legado x Novo.</w:t>
      </w:r>
    </w:p>
    <w:p>
      <w:pPr>
        <w:spacing w:after="0" w:before="120"/>
        <w:jc w:val="center"/>
      </w:pPr>
      <w:r>
        <w:drawing>
          <wp:inline distT="0" distB="0" distL="0" distR="0">
            <wp:extent cx="6096000" cy="32004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11 — Comparação Legado x Novo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713"/>
        <w:gridCol w:w="4926"/>
        <w:gridCol w:w="2999"/>
      </w:tblGrid>
      <w:tr>
        <w:trPr>
          <w:tblHeader/>
        </w:trPr>
        <w:tc>
          <w:tcPr>
            <w:tcW w:type="dxa" w:w="1713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4926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2999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 disponível</w:t>
            </w:r>
          </w:p>
        </w:tc>
      </w:tr>
      <w:tr>
        <w:tc>
          <w:tcPr>
            <w:tcW w:type="dxa" w:w="17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Idêntico</w:t>
            </w:r>
          </w:p>
        </w:tc>
        <w:tc>
          <w:tcPr>
            <w:tcW w:type="dxa" w:w="492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 com 1 banco: saldo, consumo e repasse iguais ao legado</w:t>
            </w:r>
          </w:p>
        </w:tc>
        <w:tc>
          <w:tcPr>
            <w:tcW w:type="dxa" w:w="299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Liberar empresa</w:t>
            </w:r>
          </w:p>
        </w:tc>
      </w:tr>
      <w:tr>
        <w:tc>
          <w:tcPr>
            <w:tcW w:type="dxa" w:w="17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Soma confere</w:t>
            </w:r>
          </w:p>
        </w:tc>
        <w:tc>
          <w:tcPr>
            <w:tcW w:type="dxa" w:w="492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 com vários bancos: soma do consumo dos bancos igual ao consumo total do legado</w:t>
            </w:r>
          </w:p>
        </w:tc>
        <w:tc>
          <w:tcPr>
            <w:tcW w:type="dxa" w:w="299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Liberar empresa</w:t>
            </w:r>
          </w:p>
        </w:tc>
      </w:tr>
      <w:tr>
        <w:tc>
          <w:tcPr>
            <w:tcW w:type="dxa" w:w="17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Divergente</w:t>
            </w:r>
          </w:p>
        </w:tc>
        <w:tc>
          <w:tcPr>
            <w:tcW w:type="dxa" w:w="492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Qualquer diferença</w:t>
            </w:r>
          </w:p>
        </w:tc>
        <w:tc>
          <w:tcPr>
            <w:tcW w:type="dxa" w:w="299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Ver detalhes (apontamentos que explicam a diferença)</w:t>
            </w:r>
          </w:p>
        </w:tc>
      </w:tr>
      <w:tr>
        <w:tc>
          <w:tcPr>
            <w:tcW w:type="dxa" w:w="17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Liberada</w:t>
            </w:r>
          </w:p>
        </w:tc>
        <w:tc>
          <w:tcPr>
            <w:tcW w:type="dxa" w:w="492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 já usa Bancos múltiplos</w:t>
            </w:r>
          </w:p>
        </w:tc>
        <w:tc>
          <w:tcPr>
            <w:tcW w:type="dxa" w:w="299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Voltar para legado (rollback imediato)</w:t>
            </w:r>
          </w:p>
        </w:tc>
      </w:tr>
    </w:tbl>
    <w:p>
      <w:pPr>
        <w:pStyle w:val="Heading1"/>
        <w:pageBreakBefore/>
      </w:pPr>
      <w:r>
        <w:t xml:space="preserve">6. Relatórios e envios</w:t>
      </w:r>
    </w:p>
    <w:tbl>
      <w:tblPr>
        <w:tblW w:type="dxa" w:w="9638"/>
        <w:tblBorders>
          <w:top w:val="none" w:color="FFFFFF" w:sz="0"/>
          <w:left w:val="single" w:color="04785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CFDF5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047857"/>
                <w:sz w:val="20"/>
                <w:szCs w:val="20"/>
              </w:rPr>
              <w:t xml:space="preserve">Regra geral</w:t>
            </w:r>
          </w:p>
          <w:p>
            <w:pPr>
              <w:spacing w:after="20" w:line="264"/>
            </w:pPr>
            <w:r>
              <w:rPr>
                <w:sz w:val="20"/>
                <w:szCs w:val="20"/>
              </w:rPr>
              <w:t xml:space="preserve">Os relatórios só mudam para empresas em </w:t>
            </w:r>
            <w:r>
              <w:rPr>
                <w:b/>
                <w:bCs/>
                <w:sz w:val="20"/>
                <w:szCs w:val="20"/>
              </w:rPr>
              <w:t xml:space="preserve">Bancos múltiplos</w:t>
            </w:r>
            <w:r>
              <w:rPr>
                <w:sz w:val="20"/>
                <w:szCs w:val="20"/>
              </w:rPr>
              <w:t xml:space="preserve">. Para empresas em </w:t>
            </w:r>
            <w:r>
              <w:rPr>
                <w:b/>
                <w:bCs/>
                <w:sz w:val="20"/>
                <w:szCs w:val="20"/>
              </w:rPr>
              <w:t xml:space="preserve">Legado</w:t>
            </w:r>
            <w:r>
              <w:rPr>
                <w:sz w:val="20"/>
                <w:szCs w:val="20"/>
              </w:rPr>
              <w:t xml:space="preserve">, Book, e-mails e planilhas são gerados exatamente como hoje. As tabelas atuais são reaproveitadas — apenas repetidas uma vez por banco.</w:t>
            </w:r>
          </w:p>
        </w:tc>
      </w:tr>
    </w:tbl>
    <w:p>
      <w:pPr>
        <w:pStyle w:val="Heading2"/>
      </w:pPr>
      <w:r>
        <w:t xml:space="preserve">6.1 Book mensal</w:t>
      </w:r>
    </w:p>
    <w:p>
      <w:pPr>
        <w:spacing w:after="120" w:line="276"/>
      </w:pPr>
      <w:r>
        <w:t xml:space="preserve">A página de </w:t>
      </w:r>
      <w:r>
        <w:rPr>
          <w:b/>
          <w:bCs/>
        </w:rPr>
        <w:t xml:space="preserve">Consumo do Banco de Horas</w:t>
      </w:r>
      <w:r>
        <w:t xml:space="preserve"> é repetida para cada banco, com o nome do banco e o período de apuração no título. A página de "consumo segmentado" (usada hoje pela ANGLO) deixa de ser necessária. O PDF segue o mesmo layout.</w:t>
      </w:r>
    </w:p>
    <w:p>
      <w:pPr>
        <w:spacing w:after="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12 — Página de Consumo do Book com um bloco por banco</w:t>
      </w:r>
    </w:p>
    <w:p>
      <w:pPr>
        <w:spacing w:after="120" w:line="276"/>
      </w:pPr>
      <w:r>
        <w:t xml:space="preserve">A </w:t>
      </w:r>
      <w:r>
        <w:rPr>
          <w:b/>
          <w:bCs/>
        </w:rPr>
        <w:t xml:space="preserve">imagem de banco de horas</w:t>
      </w:r>
      <w:r>
        <w:t xml:space="preserve"> inserida no e-mail do Book segue a mesma lógica: uma tabela por banco na mesma imagem.</w:t>
      </w:r>
    </w:p>
    <w:p>
      <w:pPr>
        <w:spacing w:after="120" w:line="276"/>
      </w:pPr>
      <w:r>
        <w:t xml:space="preserve">Quando houver </w:t>
      </w:r>
      <w:r>
        <w:rPr>
          <w:b/>
          <w:bCs/>
        </w:rPr>
        <w:t xml:space="preserve">consumo entre bancos</w:t>
      </w:r>
      <w:r>
        <w:t xml:space="preserve"> no fechamento do período, cada bloco do Book mostra a linha correspondente (consumido ou cedido), o saldo final e a observação automática:</w:t>
      </w:r>
    </w:p>
    <w:p>
      <w:pPr>
        <w:spacing w:after="0" w:before="120"/>
        <w:jc w:val="center"/>
      </w:pPr>
      <w:r>
        <w:drawing>
          <wp:inline distT="0" distB="0" distL="0" distR="0">
            <wp:extent cx="5143500" cy="33813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13 — Book com consumo entre bancos e observação nos dois bancos</w:t>
      </w:r>
    </w:p>
    <w:p>
      <w:pPr>
        <w:pStyle w:val="Heading2"/>
      </w:pPr>
      <w:r>
        <w:t xml:space="preserve">6.2 E-mail de Saldo Parcial (automático e manual)</w:t>
      </w:r>
    </w:p>
    <w:p>
      <w:pPr>
        <w:spacing w:after="120" w:line="276"/>
      </w:pPr>
      <w:r>
        <w:t xml:space="preserve">Continua sendo </w:t>
      </w:r>
      <w:r>
        <w:rPr>
          <w:b/>
          <w:bCs/>
        </w:rPr>
        <w:t xml:space="preserve">um único e-mail por empresa</w:t>
      </w:r>
      <w:r>
        <w:t xml:space="preserve">, para os mesmos destinatários (contatos com finalidade "Saldo Parcial"), no mesmo agendamento. O corpo traz uma tabela por banco e o anexo Excel traz uma aba por banco.</w:t>
      </w:r>
    </w:p>
    <w:p>
      <w:pPr>
        <w:spacing w:after="120" w:line="276"/>
      </w:pPr>
      <w:r>
        <w:t xml:space="preserve">Se um banco com consumo entre bancos estiver negativo durante o período, o e-mail inclui abaixo da tabela: "O saldo negativo deste banco poderá ser coberto pelo saldo dos demais bancos no fechamento do período (Dez/2026)." (RN-25)</w:t>
      </w:r>
    </w:p>
    <w:p>
      <w:pPr>
        <w:spacing w:after="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14 — E-mail de Saldo Parcial com três bancos</w:t>
      </w:r>
    </w:p>
    <w:p>
      <w:pPr>
        <w:pStyle w:val="Heading2"/>
      </w:pPr>
      <w:r>
        <w:t xml:space="preserve">6.3 Planilhas Excel</w:t>
      </w:r>
    </w:p>
    <w:p>
      <w:pPr>
        <w:spacing w:after="120" w:line="276"/>
      </w:pPr>
      <w:r>
        <w:t xml:space="preserve">As planilhas de consumo (anexo do Saldo Parcial e detalhado do Book) ganham a coluna </w:t>
      </w:r>
      <w:r>
        <w:rPr>
          <w:b/>
          <w:bCs/>
        </w:rPr>
        <w:t xml:space="preserve">Banco</w:t>
      </w:r>
      <w:r>
        <w:t xml:space="preserve"> e a coluna </w:t>
      </w:r>
      <w:r>
        <w:rPr>
          <w:b/>
          <w:bCs/>
        </w:rPr>
        <w:t xml:space="preserve">Módulo</w:t>
      </w:r>
      <w:r>
        <w:t xml:space="preserve">, além de uma aba de resumo e uma aba por banco. No mês de fechamento, a aba de resumo lista também as movimentações de consumo entre bancos (banco de origem, banco de destino e horas).</w:t>
      </w:r>
    </w:p>
    <w:p>
      <w:pPr>
        <w:spacing w:after="0" w:before="120"/>
        <w:jc w:val="center"/>
      </w:pPr>
      <w:r>
        <w:drawing>
          <wp:inline distT="0" distB="0" distL="0" distR="0">
            <wp:extent cx="5715000" cy="10382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15 — Planilha de consumo com uma aba por banco</w:t>
      </w:r>
    </w:p>
    <w:p>
      <w:pPr>
        <w:pStyle w:val="Heading2"/>
      </w:pPr>
      <w:r>
        <w:t xml:space="preserve">6.4 Demais relatórios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3748"/>
        <w:gridCol w:w="5890"/>
      </w:tblGrid>
      <w:tr>
        <w:trPr>
          <w:tblHeader/>
        </w:trPr>
        <w:tc>
          <w:tcPr>
            <w:tcW w:type="dxa" w:w="3748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</w:t>
            </w:r>
          </w:p>
        </w:tc>
        <w:tc>
          <w:tcPr>
            <w:tcW w:type="dxa" w:w="5890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Alteração para empresas em Bancos múltiplos</w:t>
            </w:r>
          </w:p>
        </w:tc>
      </w:tr>
      <w:tr>
        <w:tc>
          <w:tcPr>
            <w:tcW w:type="dxa" w:w="374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Consumo de horas fechados (Geração de Books)</w:t>
            </w:r>
          </w:p>
        </w:tc>
        <w:tc>
          <w:tcPr>
            <w:tcW w:type="dxa" w:w="589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Agrupamento por empresa e, dentro dela, por banco</w:t>
            </w:r>
          </w:p>
        </w:tc>
      </w:tr>
      <w:tr>
        <w:tc>
          <w:tcPr>
            <w:tcW w:type="dxa" w:w="374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Auditoria / Histórico do banco de horas</w:t>
            </w:r>
          </w:p>
        </w:tc>
        <w:tc>
          <w:tcPr>
            <w:tcW w:type="dxa" w:w="589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Filtro adicional por banco</w:t>
            </w:r>
          </w:p>
        </w:tc>
      </w:tr>
      <w:tr>
        <w:tc>
          <w:tcPr>
            <w:tcW w:type="dxa" w:w="374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Ajustes retroativos</w:t>
            </w:r>
          </w:p>
        </w:tc>
        <w:tc>
          <w:tcPr>
            <w:tcW w:type="dxa" w:w="589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Indicação do banco afetado pelo apontamento retroativo</w:t>
            </w:r>
          </w:p>
        </w:tc>
      </w:tr>
      <w:tr>
        <w:tc>
          <w:tcPr>
            <w:tcW w:type="dxa" w:w="374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Dashboard e Faturamento</w:t>
            </w:r>
          </w:p>
        </w:tc>
        <w:tc>
          <w:tcPr>
            <w:tcW w:type="dxa" w:w="589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Sem alteração (não usam o cálculo do banco de horas)</w:t>
            </w:r>
          </w:p>
        </w:tc>
      </w:tr>
    </w:tbl>
    <w:p>
      <w:pPr>
        <w:pStyle w:val="Heading1"/>
        <w:pageBreakBefore/>
      </w:pPr>
      <w:r>
        <w:t xml:space="preserve">7. Estratégia de implantação sem impacto</w:t>
      </w:r>
    </w:p>
    <w:p>
      <w:pPr>
        <w:pStyle w:val="Heading2"/>
      </w:pPr>
      <w:r>
        <w:t xml:space="preserve">7.1 Princípios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Construção em paralelo:</w:t>
      </w:r>
      <w:r>
        <w:t xml:space="preserve"> novas estruturas e novo cálculo são criados ao lado dos atuais. Nada existente é alterado ou removido até a etapa final.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Modelo por empresa:</w:t>
      </w:r>
      <w:r>
        <w:t xml:space="preserve"> cada empresa tem a indicação "Legado" ou "Bancos múltiplos". Todas começam em Legado.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Modo sombra:</w:t>
      </w:r>
      <w:r>
        <w:t xml:space="preserve"> para empresas em Legado que já têm bancos cadastrados, o novo cálculo roda em paralelo e é gravado separadamente, </w:t>
      </w:r>
      <w:r>
        <w:rPr>
          <w:b/>
          <w:bCs/>
        </w:rPr>
        <w:t xml:space="preserve">sem envio ao cliente</w:t>
      </w:r>
      <w:r>
        <w:t xml:space="preserve">, alimentando a tela de Comparação.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Liberação gradual:</w:t>
      </w:r>
      <w:r>
        <w:t xml:space="preserve"> a empresa passa para "Bancos múltiplos" somente após a comparação confirmar o resultado.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Rollback imediato:</w:t>
      </w:r>
      <w:r>
        <w:t xml:space="preserve"> voltar a empresa para "Legado" restabelece o comportamento atual.</w:t>
      </w:r>
    </w:p>
    <w:p>
      <w:pPr>
        <w:pStyle w:val="Heading2"/>
      </w:pPr>
      <w:r>
        <w:t xml:space="preserve">7.2 Etapas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177"/>
        <w:gridCol w:w="5354"/>
        <w:gridCol w:w="3107"/>
      </w:tblGrid>
      <w:tr>
        <w:trPr>
          <w:tblHeader/>
        </w:trPr>
        <w:tc>
          <w:tcPr>
            <w:tcW w:type="dxa" w:w="1177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354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Entrega</w:t>
            </w:r>
          </w:p>
        </w:tc>
        <w:tc>
          <w:tcPr>
            <w:tcW w:type="dxa" w:w="3107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 para o usuário</w:t>
            </w:r>
          </w:p>
        </w:tc>
      </w:tr>
      <w:tr>
        <w:tc>
          <w:tcPr>
            <w:tcW w:type="dxa" w:w="117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Etapa 1</w:t>
            </w:r>
          </w:p>
        </w:tc>
        <w:tc>
          <w:tcPr>
            <w:tcW w:type="dxa" w:w="535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Estruturas de dados novas e carga inicial do catálogo de Produtos/Módulos a partir do de-para atual</w:t>
            </w:r>
          </w:p>
        </w:tc>
        <w:tc>
          <w:tcPr>
            <w:tcW w:type="dxa" w:w="310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</w:t>
            </w:r>
          </w:p>
        </w:tc>
      </w:tr>
      <w:tr>
        <w:tc>
          <w:tcPr>
            <w:tcW w:type="dxa" w:w="117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Etapa 2</w:t>
            </w:r>
          </w:p>
        </w:tc>
        <w:tc>
          <w:tcPr>
            <w:tcW w:type="dxa" w:w="535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Novo cálculo por banco (ainda não visível)</w:t>
            </w:r>
          </w:p>
        </w:tc>
        <w:tc>
          <w:tcPr>
            <w:tcW w:type="dxa" w:w="310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</w:t>
            </w:r>
          </w:p>
        </w:tc>
      </w:tr>
      <w:tr>
        <w:tc>
          <w:tcPr>
            <w:tcW w:type="dxa" w:w="117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Etapa 3</w:t>
            </w:r>
          </w:p>
        </w:tc>
        <w:tc>
          <w:tcPr>
            <w:tcW w:type="dxa" w:w="535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Telas: Produtos e Módulos, De-para de Grupos, aba Bancos de Horas na empresa, campo Banco no requerimento</w:t>
            </w:r>
          </w:p>
        </w:tc>
        <w:tc>
          <w:tcPr>
            <w:tcW w:type="dxa" w:w="310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Novas telas de cadastro; cálculo e envios inalterados</w:t>
            </w:r>
          </w:p>
        </w:tc>
      </w:tr>
      <w:tr>
        <w:tc>
          <w:tcPr>
            <w:tcW w:type="dxa" w:w="117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Etapa 4</w:t>
            </w:r>
          </w:p>
        </w:tc>
        <w:tc>
          <w:tcPr>
            <w:tcW w:type="dxa" w:w="535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Modo sombra e tela Comparação Legado x Novo</w:t>
            </w:r>
          </w:p>
        </w:tc>
        <w:tc>
          <w:tcPr>
            <w:tcW w:type="dxa" w:w="310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Validação pelas áreas, sem envio ao cliente</w:t>
            </w:r>
          </w:p>
        </w:tc>
      </w:tr>
      <w:tr>
        <w:tc>
          <w:tcPr>
            <w:tcW w:type="dxa" w:w="117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Etapa 5</w:t>
            </w:r>
          </w:p>
        </w:tc>
        <w:tc>
          <w:tcPr>
            <w:tcW w:type="dxa" w:w="535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Controle, Book, Saldo Parcial e Excel com seção por banco (apenas para empresas liberadas)</w:t>
            </w:r>
          </w:p>
        </w:tc>
        <w:tc>
          <w:tcPr>
            <w:tcW w:type="dxa" w:w="310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liberadas passam a ver bancos separados</w:t>
            </w:r>
          </w:p>
        </w:tc>
      </w:tr>
      <w:tr>
        <w:tc>
          <w:tcPr>
            <w:tcW w:type="dxa" w:w="117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Etapa 6</w:t>
            </w:r>
          </w:p>
        </w:tc>
        <w:tc>
          <w:tcPr>
            <w:tcW w:type="dxa" w:w="535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Liberação: empresa de teste → empresas piloto → ANGLO → demais</w:t>
            </w:r>
          </w:p>
        </w:tc>
        <w:tc>
          <w:tcPr>
            <w:tcW w:type="dxa" w:w="310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Gradual, empresa a empresa</w:t>
            </w:r>
          </w:p>
        </w:tc>
      </w:tr>
      <w:tr>
        <w:tc>
          <w:tcPr>
            <w:tcW w:type="dxa" w:w="117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Etapa 7</w:t>
            </w:r>
          </w:p>
        </w:tc>
        <w:tc>
          <w:tcPr>
            <w:tcW w:type="dxa" w:w="535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Remoção do modelo antigo (segmentação, alocações, parâmetros na empresa, cálculo legado)</w:t>
            </w:r>
          </w:p>
        </w:tc>
        <w:tc>
          <w:tcPr>
            <w:tcW w:type="dxa" w:w="310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Somente após todas as empresas migradas e um ciclo de envios validado</w:t>
            </w:r>
          </w:p>
        </w:tc>
      </w:tr>
    </w:tbl>
    <w:p>
      <w:pPr>
        <w:pStyle w:val="Heading2"/>
      </w:pPr>
      <w:r>
        <w:t xml:space="preserve">7.3 Critérios para liberar uma empresa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Empresa com 1 banco: resultado </w:t>
      </w:r>
      <w:r>
        <w:rPr>
          <w:b/>
          <w:bCs/>
        </w:rPr>
        <w:t xml:space="preserve">idêntico</w:t>
      </w:r>
      <w:r>
        <w:t xml:space="preserve"> ao legado nos últimos 12 meses.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Empresa com vários bancos: </w:t>
      </w:r>
      <w:r>
        <w:rPr>
          <w:b/>
          <w:bCs/>
        </w:rPr>
        <w:t xml:space="preserve">soma do consumo</w:t>
      </w:r>
      <w:r>
        <w:t xml:space="preserve"> dos bancos igual ao consumo total do legado em todos os meses comparados.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Book e e-mail de Saldo Parcial de teste revisados pela área responsável.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Grupos não mapeados com apontamentos da empresa tratados (ou conscientemente direcionados ao Banco padrão).</w:t>
      </w:r>
    </w:p>
    <w:p>
      <w:pPr>
        <w:pStyle w:val="Heading1"/>
        <w:pageBreakBefore/>
      </w:pPr>
      <w:r>
        <w:t xml:space="preserve">8. Casos de exemplo</w:t>
      </w:r>
    </w:p>
    <w:p>
      <w:pPr>
        <w:pStyle w:val="Heading2"/>
      </w:pPr>
      <w:r>
        <w:t xml:space="preserve">8.1 Empresa Exemplo S.A. — três bancos (setembro/2026)</w:t>
      </w:r>
    </w:p>
    <w:p>
      <w:pPr>
        <w:spacing w:after="120" w:line="276"/>
      </w:pPr>
      <w:r>
        <w:t xml:space="preserve">Contrata COMEX e FISCAL. Possui banco para COMEX, um banco dedicado ao módulo e-DOCS e um banco para os demais módulos FISCAL (padrão).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3212"/>
        <w:gridCol w:w="2784"/>
        <w:gridCol w:w="2570"/>
        <w:gridCol w:w="1072"/>
      </w:tblGrid>
      <w:tr>
        <w:trPr>
          <w:tblHeader/>
        </w:trPr>
        <w:tc>
          <w:tcPr>
            <w:tcW w:type="dxa" w:w="321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Grupo Aranda</w:t>
            </w:r>
          </w:p>
        </w:tc>
        <w:tc>
          <w:tcPr>
            <w:tcW w:type="dxa" w:w="2784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 (de-para)</w:t>
            </w:r>
          </w:p>
        </w:tc>
        <w:tc>
          <w:tcPr>
            <w:tcW w:type="dxa" w:w="2570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Banco</w:t>
            </w:r>
          </w:p>
        </w:tc>
        <w:tc>
          <w:tcPr>
            <w:tcW w:type="dxa" w:w="107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Horas</w:t>
            </w:r>
          </w:p>
        </w:tc>
      </w:tr>
      <w:tr>
        <w:tc>
          <w:tcPr>
            <w:tcW w:type="dxa" w:w="321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AMS APL - IMPORTACAO - N2</w:t>
            </w:r>
          </w:p>
        </w:tc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COMEX › Importação</w:t>
            </w:r>
          </w:p>
        </w:tc>
        <w:tc>
          <w:tcPr>
            <w:tcW w:type="dxa" w:w="25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COMEX</w:t>
            </w:r>
          </w:p>
        </w:tc>
        <w:tc>
          <w:tcPr>
            <w:tcW w:type="dxa" w:w="107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41:20</w:t>
            </w:r>
          </w:p>
        </w:tc>
      </w:tr>
      <w:tr>
        <w:tc>
          <w:tcPr>
            <w:tcW w:type="dxa" w:w="321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AMS APL - CAMBIO - N2</w:t>
            </w:r>
          </w:p>
        </w:tc>
        <w:tc>
          <w:tcPr>
            <w:tcW w:type="dxa" w:w="27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COMEX › Câmbio</w:t>
            </w:r>
          </w:p>
        </w:tc>
        <w:tc>
          <w:tcPr>
            <w:tcW w:type="dxa" w:w="25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COMEX</w:t>
            </w:r>
          </w:p>
        </w:tc>
        <w:tc>
          <w:tcPr>
            <w:tcW w:type="dxa" w:w="107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29:00</w:t>
            </w:r>
          </w:p>
        </w:tc>
      </w:tr>
      <w:tr>
        <w:tc>
          <w:tcPr>
            <w:tcW w:type="dxa" w:w="321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AMS APL - E-DOCS - N2</w:t>
            </w:r>
          </w:p>
        </w:tc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FISCAL › COMPLY e-DOCS</w:t>
            </w:r>
          </w:p>
        </w:tc>
        <w:tc>
          <w:tcPr>
            <w:tcW w:type="dxa" w:w="25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FISCAL – e-DOCS</w:t>
            </w:r>
          </w:p>
        </w:tc>
        <w:tc>
          <w:tcPr>
            <w:tcW w:type="dxa" w:w="107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28:40</w:t>
            </w:r>
          </w:p>
        </w:tc>
      </w:tr>
      <w:tr>
        <w:tc>
          <w:tcPr>
            <w:tcW w:type="dxa" w:w="321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AMS APL - SPED FISCAL/PRIS - N2</w:t>
            </w:r>
          </w:p>
        </w:tc>
        <w:tc>
          <w:tcPr>
            <w:tcW w:type="dxa" w:w="27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FISCAL › EFD ICMS</w:t>
            </w:r>
          </w:p>
        </w:tc>
        <w:tc>
          <w:tcPr>
            <w:tcW w:type="dxa" w:w="25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FISCAL (padrão)</w:t>
            </w:r>
          </w:p>
        </w:tc>
        <w:tc>
          <w:tcPr>
            <w:tcW w:type="dxa" w:w="107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31:05</w:t>
            </w:r>
          </w:p>
        </w:tc>
      </w:tr>
      <w:tr>
        <w:tc>
          <w:tcPr>
            <w:tcW w:type="dxa" w:w="321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AMS APL - DEDICADOS - CLIENTE X</w:t>
            </w:r>
          </w:p>
        </w:tc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— (sem produto)</w:t>
            </w:r>
          </w:p>
        </w:tc>
        <w:tc>
          <w:tcPr>
            <w:tcW w:type="dxa" w:w="25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FISCAL (padrão)</w:t>
            </w:r>
          </w:p>
        </w:tc>
        <w:tc>
          <w:tcPr>
            <w:tcW w:type="dxa" w:w="107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08:10</w:t>
            </w:r>
          </w:p>
        </w:tc>
      </w:tr>
      <w:tr>
        <w:tc>
          <w:tcPr>
            <w:tcW w:type="dxa" w:w="321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AMS T&amp;M - TIME &amp; MATERIAL</w:t>
            </w:r>
          </w:p>
        </w:tc>
        <w:tc>
          <w:tcPr>
            <w:tcW w:type="dxa" w:w="27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— (sem produto)</w:t>
            </w:r>
          </w:p>
        </w:tc>
        <w:tc>
          <w:tcPr>
            <w:tcW w:type="dxa" w:w="25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FISCAL (padrão)</w:t>
            </w:r>
          </w:p>
        </w:tc>
        <w:tc>
          <w:tcPr>
            <w:tcW w:type="dxa" w:w="107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04:20</w:t>
            </w:r>
          </w:p>
        </w:tc>
      </w:tr>
      <w:tr>
        <w:tc>
          <w:tcPr>
            <w:tcW w:type="dxa" w:w="321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  <w:tc>
          <w:tcPr>
            <w:tcW w:type="dxa" w:w="25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Soma dos bancos = consumo total da empresa</w:t>
            </w:r>
          </w:p>
        </w:tc>
        <w:tc>
          <w:tcPr>
            <w:tcW w:type="dxa" w:w="107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142:35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3212"/>
        <w:gridCol w:w="2141"/>
        <w:gridCol w:w="4285"/>
      </w:tblGrid>
      <w:tr>
        <w:trPr>
          <w:tblHeader/>
        </w:trPr>
        <w:tc>
          <w:tcPr>
            <w:tcW w:type="dxa" w:w="321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Banco</w:t>
            </w:r>
          </w:p>
        </w:tc>
        <w:tc>
          <w:tcPr>
            <w:tcW w:type="dxa" w:w="2141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Consumo setembro</w:t>
            </w:r>
          </w:p>
        </w:tc>
        <w:tc>
          <w:tcPr>
            <w:tcW w:type="dxa" w:w="4285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Conferência</w:t>
            </w:r>
          </w:p>
        </w:tc>
      </w:tr>
      <w:tr>
        <w:tc>
          <w:tcPr>
            <w:tcW w:type="dxa" w:w="321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COMEX</w:t>
            </w:r>
          </w:p>
        </w:tc>
        <w:tc>
          <w:tcPr>
            <w:tcW w:type="dxa" w:w="214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70:20</w:t>
            </w:r>
          </w:p>
        </w:tc>
        <w:tc>
          <w:tcPr>
            <w:tcW w:type="dxa" w:w="428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c>
          <w:tcPr>
            <w:tcW w:type="dxa" w:w="321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FISCAL – e-DOCS</w:t>
            </w:r>
          </w:p>
        </w:tc>
        <w:tc>
          <w:tcPr>
            <w:tcW w:type="dxa" w:w="214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28:40</w:t>
            </w:r>
          </w:p>
        </w:tc>
        <w:tc>
          <w:tcPr>
            <w:tcW w:type="dxa" w:w="428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c>
          <w:tcPr>
            <w:tcW w:type="dxa" w:w="321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FISCAL (padrão)</w:t>
            </w:r>
          </w:p>
        </w:tc>
        <w:tc>
          <w:tcPr>
            <w:tcW w:type="dxa" w:w="214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43:35</w:t>
            </w:r>
          </w:p>
        </w:tc>
        <w:tc>
          <w:tcPr>
            <w:tcW w:type="dxa" w:w="428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c>
          <w:tcPr>
            <w:tcW w:type="dxa" w:w="321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214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142:35</w:t>
            </w:r>
          </w:p>
        </w:tc>
        <w:tc>
          <w:tcPr>
            <w:tcW w:type="dxa" w:w="428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Igual ao consumo total calculado hoje no modelo legado</w:t>
            </w:r>
          </w:p>
        </w:tc>
      </w:tr>
    </w:tbl>
    <w:p>
      <w:pPr>
        <w:pStyle w:val="Heading2"/>
      </w:pPr>
      <w:r>
        <w:t xml:space="preserve">8.2 ANGLO — migração da segmentação atual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Hoje (segmentação)</w:t>
            </w:r>
          </w:p>
        </w:tc>
        <w:tc>
          <w:tcPr>
            <w:tcW w:type="dxa" w:w="4819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Novo modelo</w:t>
            </w:r>
          </w:p>
        </w:tc>
      </w:tr>
      <w:tr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Um banco com baseline dividido 50% NIQUEL / 50% IOB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Dois bancos: "NIQUEL" e "IOB" (padrão), cada um com seu baseline (50% do atual)</w:t>
            </w:r>
          </w:p>
        </w:tc>
      </w:tr>
      <w:tr>
        <w:tc>
          <w:tcPr>
            <w:tcW w:type="dxa" w:w="481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Filtro "item de configuração contém NIQUEL" / "não contém NIQUEL"</w:t>
            </w:r>
          </w:p>
        </w:tc>
        <w:tc>
          <w:tcPr>
            <w:tcW w:type="dxa" w:w="481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NIQUEL: filtro avançado "contém NIQUEL"; IOB recebe o restante por ser o padrão</w:t>
            </w:r>
          </w:p>
        </w:tc>
      </w:tr>
      <w:tr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Mesmo ciclo e repasse para os dois segmentos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Ciclo, repasse e taxa podem ser diferentes, se necessário</w:t>
            </w:r>
          </w:p>
        </w:tc>
      </w:tr>
      <w:tr>
        <w:tc>
          <w:tcPr>
            <w:tcW w:type="dxa" w:w="481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Requerimentos e reajustes marcados com o nome do segmento</w:t>
            </w:r>
          </w:p>
        </w:tc>
        <w:tc>
          <w:tcPr>
            <w:tcW w:type="dxa" w:w="481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Convertidos para o banco correspondente</w:t>
            </w:r>
          </w:p>
        </w:tc>
      </w:tr>
      <w:tr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Cálculo apenas na tela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Cálculo gravado, com histórico, Book e Saldo Parcial por banco</w:t>
            </w:r>
          </w:p>
        </w:tc>
      </w:tr>
    </w:tbl>
    <w:p>
      <w:pPr>
        <w:spacing w:after="120" w:line="276"/>
      </w:pPr>
      <w:r>
        <w:t xml:space="preserve">A migração da ANGLO será feita a partir de um </w:t>
      </w:r>
      <w:r>
        <w:rPr>
          <w:b/>
          <w:bCs/>
        </w:rPr>
        <w:t xml:space="preserve">mês de corte</w:t>
      </w:r>
      <w:r>
        <w:t xml:space="preserve"> a ser validado com a área; meses anteriores permanecem como foram fechados.</w:t>
      </w:r>
    </w:p>
    <w:p>
      <w:pPr>
        <w:pStyle w:val="Heading2"/>
      </w:pPr>
      <w:r>
        <w:t xml:space="preserve">8.3 Consumo entre bancos — fechamento de Dez/2026</w:t>
      </w:r>
    </w:p>
    <w:p>
      <w:pPr>
        <w:spacing w:after="120" w:line="276"/>
      </w:pPr>
      <w:r>
        <w:t xml:space="preserve">O banco </w:t>
      </w:r>
      <w:r>
        <w:rPr>
          <w:b/>
          <w:bCs/>
        </w:rPr>
        <w:t xml:space="preserve">FISCAL – e-DOCS</w:t>
      </w:r>
      <w:r>
        <w:t xml:space="preserve"> (semestral Jul–Dez, parâmetro marcado) fecha o período com saldo de </w:t>
      </w:r>
      <w:r>
        <w:rPr>
          <w:b/>
          <w:bCs/>
        </w:rPr>
        <w:t xml:space="preserve">-06:30</w:t>
      </w:r>
      <w:r>
        <w:t xml:space="preserve">. O </w:t>
      </w:r>
      <w:r>
        <w:rPr>
          <w:b/>
          <w:bCs/>
        </w:rPr>
        <w:t xml:space="preserve">Banco FISCAL</w:t>
      </w:r>
      <w:r>
        <w:t xml:space="preserve"> tem o mesmo ciclo e fecha com </w:t>
      </w:r>
      <w:r>
        <w:rPr>
          <w:b/>
          <w:bCs/>
        </w:rPr>
        <w:t xml:space="preserve">52:15</w:t>
      </w:r>
      <w:r>
        <w:t xml:space="preserve"> positivas. O </w:t>
      </w:r>
      <w:r>
        <w:rPr>
          <w:b/>
          <w:bCs/>
        </w:rPr>
        <w:t xml:space="preserve">Banco COMEX</w:t>
      </w:r>
      <w:r>
        <w:t xml:space="preserve"> é trimestral e não participa (RN-19).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637"/>
        <w:gridCol w:w="2231"/>
        <w:gridCol w:w="2333"/>
        <w:gridCol w:w="2437"/>
      </w:tblGrid>
      <w:tr>
        <w:trPr>
          <w:tblHeader/>
        </w:trPr>
        <w:tc>
          <w:tcPr>
            <w:tcW w:type="dxa" w:w="2637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2231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FISCAL – e-DOCS</w:t>
            </w:r>
          </w:p>
        </w:tc>
        <w:tc>
          <w:tcPr>
            <w:tcW w:type="dxa" w:w="2333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Banco FISCAL</w:t>
            </w:r>
          </w:p>
        </w:tc>
        <w:tc>
          <w:tcPr>
            <w:tcW w:type="dxa" w:w="2437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263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 </w:t>
            </w:r>
            <w:r>
              <w:rPr>
                <w:b/>
                <w:bCs/>
                <w:sz w:val="19"/>
                <w:szCs w:val="19"/>
              </w:rPr>
              <w:t xml:space="preserve">desmarcado</w:t>
            </w:r>
            <w:r>
              <w:rPr>
                <w:b w:val="false"/>
                <w:bCs w:val="false"/>
                <w:sz w:val="19"/>
                <w:szCs w:val="19"/>
              </w:rPr>
              <w:t xml:space="preserve"> (padrão)</w:t>
            </w:r>
          </w:p>
        </w:tc>
        <w:tc>
          <w:tcPr>
            <w:tcW w:type="dxa" w:w="223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Saldo -06:30</w:t>
            </w:r>
          </w:p>
        </w:tc>
        <w:tc>
          <w:tcPr>
            <w:tcW w:type="dxa" w:w="233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Saldo 52:15 → zera no fechamento</w:t>
            </w:r>
          </w:p>
        </w:tc>
        <w:tc>
          <w:tcPr>
            <w:tcW w:type="dxa" w:w="243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06:30 de excedente</w:t>
            </w:r>
            <w:r>
              <w:rPr>
                <w:b w:val="false"/>
                <w:bCs w:val="false"/>
                <w:sz w:val="19"/>
                <w:szCs w:val="19"/>
              </w:rPr>
              <w:t xml:space="preserve"> no e-DOCS, como hoje</w:t>
            </w:r>
          </w:p>
        </w:tc>
      </w:tr>
      <w:tr>
        <w:tc>
          <w:tcPr>
            <w:tcW w:type="dxa" w:w="263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 </w:t>
            </w:r>
            <w:r>
              <w:rPr>
                <w:b/>
                <w:bCs/>
                <w:sz w:val="19"/>
                <w:szCs w:val="19"/>
              </w:rPr>
              <w:t xml:space="preserve">marcado</w:t>
            </w:r>
            <w:r>
              <w:rPr>
                <w:b w:val="false"/>
                <w:bCs w:val="false"/>
                <w:sz w:val="19"/>
                <w:szCs w:val="19"/>
              </w:rPr>
              <w:t xml:space="preserve">, saldo do outro banco suficiente</w:t>
            </w:r>
          </w:p>
        </w:tc>
        <w:tc>
          <w:tcPr>
            <w:tcW w:type="dxa" w:w="223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-06:30 + 06:30 consumidas = </w:t>
            </w:r>
            <w:r>
              <w:rPr>
                <w:b/>
                <w:bCs/>
                <w:sz w:val="19"/>
                <w:szCs w:val="19"/>
              </w:rPr>
              <w:t xml:space="preserve">00:00</w:t>
            </w:r>
          </w:p>
        </w:tc>
        <w:tc>
          <w:tcPr>
            <w:tcW w:type="dxa" w:w="233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52:15 - 06:30 cedidas = 45:45 → zera no fechamento</w:t>
            </w:r>
          </w:p>
        </w:tc>
        <w:tc>
          <w:tcPr>
            <w:tcW w:type="dxa" w:w="243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Sem excedente.</w:t>
            </w:r>
            <w:r>
              <w:rPr>
                <w:b w:val="false"/>
                <w:bCs w:val="false"/>
                <w:sz w:val="19"/>
                <w:szCs w:val="19"/>
              </w:rPr>
              <w:t xml:space="preserve"> Observação nos dois bancos</w:t>
            </w:r>
          </w:p>
        </w:tc>
      </w:tr>
      <w:tr>
        <w:tc>
          <w:tcPr>
            <w:tcW w:type="dxa" w:w="263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 </w:t>
            </w:r>
            <w:r>
              <w:rPr>
                <w:b/>
                <w:bCs/>
                <w:sz w:val="19"/>
                <w:szCs w:val="19"/>
              </w:rPr>
              <w:t xml:space="preserve">marcado</w:t>
            </w:r>
            <w:r>
              <w:rPr>
                <w:b w:val="false"/>
                <w:bCs w:val="false"/>
                <w:sz w:val="19"/>
                <w:szCs w:val="19"/>
              </w:rPr>
              <w:t xml:space="preserve">, saldo do outro banco insuficiente (ex.: Banco FISCAL com 04:00)</w:t>
            </w:r>
          </w:p>
        </w:tc>
        <w:tc>
          <w:tcPr>
            <w:tcW w:type="dxa" w:w="223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-06:30 + 04:00 consumidas = </w:t>
            </w:r>
            <w:r>
              <w:rPr>
                <w:b/>
                <w:bCs/>
                <w:sz w:val="19"/>
                <w:szCs w:val="19"/>
              </w:rPr>
              <w:t xml:space="preserve">-02:30</w:t>
            </w:r>
          </w:p>
        </w:tc>
        <w:tc>
          <w:tcPr>
            <w:tcW w:type="dxa" w:w="233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04:00 - 04:00 cedidas = 00:00</w:t>
            </w:r>
          </w:p>
        </w:tc>
        <w:tc>
          <w:tcPr>
            <w:tcW w:type="dxa" w:w="243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02:30 de excedente</w:t>
            </w:r>
            <w:r>
              <w:rPr>
                <w:b w:val="false"/>
                <w:bCs w:val="false"/>
                <w:sz w:val="19"/>
                <w:szCs w:val="19"/>
              </w:rPr>
              <w:t xml:space="preserve"> no e-DOCS (nenhum outro banco elegível). Observação nos dois bancos</w:t>
            </w:r>
          </w:p>
        </w:tc>
      </w:tr>
    </w:tbl>
    <w:p>
      <w:pPr>
        <w:pStyle w:val="Heading1"/>
        <w:pageBreakBefore/>
      </w:pPr>
      <w:r>
        <w:t xml:space="preserve">9. Fora de escopo, riscos e pontos em aberto</w:t>
      </w:r>
    </w:p>
    <w:p>
      <w:pPr>
        <w:pStyle w:val="Heading2"/>
      </w:pPr>
      <w:r>
        <w:t xml:space="preserve">9.1 Fora de escopo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Unificar Novo Nordisk e Novo Nordisk MOC em uma única empresa com dois bancos (poderá ser feito depois, já no novo modelo).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Alterar os critérios do que é considerado hora AMS válida (RN-08).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Alterações em Faturamento e Dashboard.</w:t>
      </w:r>
    </w:p>
    <w:p>
      <w:pPr>
        <w:pStyle w:val="Heading2"/>
      </w:pPr>
      <w:r>
        <w:t xml:space="preserve">9.2 Riscos e mitigação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5355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c>
          <w:tcPr>
            <w:tcW w:type="dxa" w:w="428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novo no Aranda sem de-para faz horas caírem no banco errado</w:t>
            </w:r>
          </w:p>
        </w:tc>
        <w:tc>
          <w:tcPr>
            <w:tcW w:type="dxa" w:w="53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Horas vão para o Banco padrão (nunca se perdem) + aba "Grupos não mapeados" com alerta</w:t>
            </w:r>
          </w:p>
        </w:tc>
      </w:tr>
      <w:tr>
        <w:tc>
          <w:tcPr>
            <w:tcW w:type="dxa" w:w="428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Alteração no de-para move horas entre bancos sem querer</w:t>
            </w:r>
          </w:p>
        </w:tc>
        <w:tc>
          <w:tcPr>
            <w:tcW w:type="dxa" w:w="535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Aviso de impacto antes de salvar, auditoria de alterações e preservação de meses fechados</w:t>
            </w:r>
          </w:p>
        </w:tc>
      </w:tr>
      <w:tr>
        <w:tc>
          <w:tcPr>
            <w:tcW w:type="dxa" w:w="428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entre o cálculo novo e o atual</w:t>
            </w:r>
          </w:p>
        </w:tc>
        <w:tc>
          <w:tcPr>
            <w:tcW w:type="dxa" w:w="53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Modo sombra + Comparação Legado x Novo antes de liberar cada empresa</w:t>
            </w:r>
          </w:p>
        </w:tc>
      </w:tr>
      <w:tr>
        <w:tc>
          <w:tcPr>
            <w:tcW w:type="dxa" w:w="428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Problema em envio após a liberação</w:t>
            </w:r>
          </w:p>
        </w:tc>
        <w:tc>
          <w:tcPr>
            <w:tcW w:type="dxa" w:w="535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Rollback imediato da empresa para Legado</w:t>
            </w:r>
          </w:p>
        </w:tc>
      </w:tr>
      <w:tr>
        <w:tc>
          <w:tcPr>
            <w:tcW w:type="dxa" w:w="428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Lançamento de requerimento no banco errado</w:t>
            </w:r>
          </w:p>
        </w:tc>
        <w:tc>
          <w:tcPr>
            <w:tcW w:type="dxa" w:w="53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Sugestão automática pelo módulo e campo obrigatório quando há mais de um banco</w:t>
            </w:r>
          </w:p>
        </w:tc>
      </w:tr>
      <w:tr>
        <w:tc>
          <w:tcPr>
            <w:tcW w:type="dxa" w:w="428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Consumo entre bancos deixar de acontecer porque os ciclos ficaram diferentes após uma alteração de cadastro</w:t>
            </w:r>
          </w:p>
        </w:tc>
        <w:tc>
          <w:tcPr>
            <w:tcW w:type="dxa" w:w="535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Validação ao salvar e aviso dos bancos que deixam de ser elegíveis (RN-19)</w:t>
            </w:r>
          </w:p>
        </w:tc>
      </w:tr>
      <w:tr>
        <w:tc>
          <w:tcPr>
            <w:tcW w:type="dxa" w:w="428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 não entender a movimentação entre bancos</w:t>
            </w:r>
          </w:p>
        </w:tc>
        <w:tc>
          <w:tcPr>
            <w:tcW w:type="dxa" w:w="53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Observação automática nos dois bancos, no Book e no Controle (RN-24)</w:t>
            </w:r>
          </w:p>
        </w:tc>
      </w:tr>
    </w:tbl>
    <w:p>
      <w:pPr>
        <w:pStyle w:val="Heading2"/>
      </w:pPr>
      <w:r>
        <w:t xml:space="preserve">9.3 Pontos em aberto (para decisão)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428"/>
        <w:gridCol w:w="4604"/>
        <w:gridCol w:w="4606"/>
      </w:tblGrid>
      <w:tr>
        <w:trPr>
          <w:tblHeader/>
        </w:trPr>
        <w:tc>
          <w:tcPr>
            <w:tcW w:type="dxa" w:w="428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604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Ponto</w:t>
            </w:r>
          </w:p>
        </w:tc>
        <w:tc>
          <w:tcPr>
            <w:tcW w:type="dxa" w:w="4606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</w:tr>
      <w:tr>
        <w:tc>
          <w:tcPr>
            <w:tcW w:type="dxa" w:w="42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6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Cenário 1: como tratar horas de produtos sem banco (ex.: FISCAL de um cliente que só tem banco COMEX)</w:t>
            </w:r>
          </w:p>
        </w:tc>
        <w:tc>
          <w:tcPr>
            <w:tcW w:type="dxa" w:w="460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padrão com baseline zero, exibido apenas internamente, ou exibido ao cliente como consumo fora de banco — definir com a área comercial</w:t>
            </w:r>
          </w:p>
        </w:tc>
      </w:tr>
      <w:tr>
        <w:tc>
          <w:tcPr>
            <w:tcW w:type="dxa" w:w="42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6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de corte da ANGLO</w:t>
            </w:r>
          </w:p>
        </w:tc>
        <w:tc>
          <w:tcPr>
            <w:tcW w:type="dxa" w:w="460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Primeiro mês aberto após a validação</w:t>
            </w:r>
          </w:p>
        </w:tc>
      </w:tr>
      <w:tr>
        <w:tc>
          <w:tcPr>
            <w:tcW w:type="dxa" w:w="42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6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Perfis com permissão de edição no De-para e em Produtos e Módulos</w:t>
            </w:r>
          </w:p>
        </w:tc>
        <w:tc>
          <w:tcPr>
            <w:tcW w:type="dxa" w:w="460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Restrito a administradores do Banco de Horas</w:t>
            </w:r>
          </w:p>
        </w:tc>
      </w:tr>
      <w:tr>
        <w:tc>
          <w:tcPr>
            <w:tcW w:type="dxa" w:w="42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6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Exibir o nome dos bancos no assunto do e-mail de Saldo Parcial</w:t>
            </w:r>
          </w:p>
        </w:tc>
        <w:tc>
          <w:tcPr>
            <w:tcW w:type="dxa" w:w="460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Manter o assunto atual (por empresa)</w:t>
            </w:r>
          </w:p>
        </w:tc>
      </w:tr>
      <w:tr>
        <w:tc>
          <w:tcPr>
            <w:tcW w:type="dxa" w:w="42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6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Visão consolidada (soma de todos os bancos) na tela de Controle</w:t>
            </w:r>
          </w:p>
        </w:tc>
        <w:tc>
          <w:tcPr>
            <w:tcW w:type="dxa" w:w="460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incluir na primeira versão; avaliar após uso</w:t>
            </w:r>
          </w:p>
        </w:tc>
      </w:tr>
      <w:tr>
        <w:tc>
          <w:tcPr>
            <w:tcW w:type="dxa" w:w="42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6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Consumo entre bancos: o banco que cede também precisa autorizar (ex.: um banco que nunca cede saldo)?</w:t>
            </w:r>
          </w:p>
        </w:tc>
        <w:tc>
          <w:tcPr>
            <w:tcW w:type="dxa" w:w="460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Na primeira versão, qualquer banco elegível pode ceder; avaliar um parâmetro "não ceder saldo" se surgir a necessidade</w:t>
            </w:r>
          </w:p>
        </w:tc>
      </w:tr>
      <w:tr>
        <w:tc>
          <w:tcPr>
            <w:tcW w:type="dxa" w:w="42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46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Consumo entre bancos com repasse especial: o saldo cedido reduz o que seria repassado ao próximo período pelo banco que cede</w:t>
            </w:r>
          </w:p>
        </w:tc>
        <w:tc>
          <w:tcPr>
            <w:tcW w:type="dxa" w:w="460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Manter a RN-23 (cede antes de aplicar o repasse especial)</w:t>
            </w:r>
          </w:p>
        </w:tc>
      </w:tr>
    </w:tbl>
    <w:p>
      <w:pPr>
        <w:pStyle w:val="Heading1"/>
        <w:pageBreakBefore/>
      </w:pPr>
      <w:r>
        <w:t xml:space="preserve">10. Critérios de aceite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70"/>
        <w:gridCol w:w="8568"/>
      </w:tblGrid>
      <w:tr>
        <w:trPr>
          <w:tblHeader/>
        </w:trPr>
        <w:tc>
          <w:tcPr>
            <w:tcW w:type="dxa" w:w="1070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8568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CA-01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Uma empresa em Legado gera Book, imagem do e-mail, Saldo Parcial e Excel </w:t>
            </w:r>
            <w:r>
              <w:rPr>
                <w:b/>
                <w:bCs/>
                <w:sz w:val="19"/>
                <w:szCs w:val="19"/>
              </w:rPr>
              <w:t xml:space="preserve">idênticos</w:t>
            </w:r>
            <w:r>
              <w:rPr>
                <w:b w:val="false"/>
                <w:bCs w:val="false"/>
                <w:sz w:val="19"/>
                <w:szCs w:val="19"/>
              </w:rPr>
              <w:t xml:space="preserve"> aos gerados antes da mudança.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CA-02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É possível cadastrar produtos e módulos, vincular grupos Aranda a módulos e editar o de-para pela tela, com registro de quem alterou.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CA-03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 aba "Grupos não mapeados" lista os grupos AMS com apontamentos que não estão no de-para.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CA-04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É possível cadastrar vários bancos para uma empresa, com nome e descrição editáveis, parâmetros próprios e escopo por produto/módulo, e o sistema impede módulo duplicado entre bancos.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CA-05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Para uma empresa com 3 bancos, a soma do consumo dos bancos é igual ao consumo total da empresa em todos os meses testados, e DEDICADOS/T&amp;M caem no Banco padrão.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CA-06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Para todas as empresas com 1 banco, o novo cálculo é idêntico ao legado nos últimos 12 meses.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CA-07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Requerimentos de clientes com vários bancos exigem o banco e são consumidos no banco escolhido.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CA-08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liberadas recebem um único Book e um único e-mail de Saldo Parcial, com uma seção por banco e o Excel com uma aba por banco.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CA-09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Voltar uma empresa para Legado restabelece imediatamente o comportamento atual.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CA-10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 ANGLO, migrada para dois bancos, apresenta os mesmos totais da segmentação atual a partir do mês de corte.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CA-11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 o parâmetro de consumo entre bancos </w:t>
            </w:r>
            <w:r>
              <w:rPr>
                <w:b/>
                <w:bCs/>
                <w:sz w:val="19"/>
                <w:szCs w:val="19"/>
              </w:rPr>
              <w:t xml:space="preserve">desmarcado</w:t>
            </w:r>
            <w:r>
              <w:rPr>
                <w:b w:val="false"/>
                <w:bCs w:val="false"/>
                <w:sz w:val="19"/>
                <w:szCs w:val="19"/>
              </w:rPr>
              <w:t xml:space="preserve">, o saldo negativo no fechamento gera excedente exatamente como hoje.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CA-12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 o parâmetro </w:t>
            </w:r>
            <w:r>
              <w:rPr>
                <w:b/>
                <w:bCs/>
                <w:sz w:val="19"/>
                <w:szCs w:val="19"/>
              </w:rPr>
              <w:t xml:space="preserve">marcado</w:t>
            </w:r>
            <w:r>
              <w:rPr>
                <w:b w:val="false"/>
                <w:bCs w:val="false"/>
                <w:sz w:val="19"/>
                <w:szCs w:val="19"/>
              </w:rPr>
              <w:t xml:space="preserve">, o saldo negativo no fechamento é coberto pelos bancos elegíveis na ordem do cadastro; só há excedente pelo valor não coberto; nenhum banco que cede fica negativo.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CA-13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 movimentação gera observação automática nos dois bancos, visível no Controle, no Book/PDF e na planilha.</w:t>
            </w:r>
          </w:p>
        </w:tc>
      </w:tr>
    </w:tbl>
    <w:p>
      <w:pPr>
        <w:pStyle w:val="Heading1"/>
        <w:pageBreakBefore/>
      </w:pPr>
      <w:r>
        <w:t xml:space="preserve">Anexo A — Resumo técnico (para o time de desenvolvimento)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463"/>
        <w:gridCol w:w="7175"/>
      </w:tblGrid>
      <w:tr>
        <w:trPr>
          <w:tblHeader/>
        </w:trPr>
        <w:tc>
          <w:tcPr>
            <w:tcW w:type="dxa" w:w="2463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175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Detalhe</w:t>
            </w:r>
          </w:p>
        </w:tc>
      </w:tr>
      <w:tr>
        <w:tc>
          <w:tcPr>
            <w:tcW w:type="dxa" w:w="24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Novas tabelas</w:t>
            </w:r>
          </w:p>
        </w:tc>
        <w:tc>
          <w:tcPr>
            <w:tcW w:type="dxa" w:w="717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produtos_catalogo, produto_modulos, bancos_horas, bancos_horas_escopo, bancos_horas_baseline_historico, bancos_horas_repasse_historico, bancos_horas_calculos (com origem sombra/oficial), bancos_horas_reajustes, bancos_horas_observacoes, bancos_horas_fechamentos, bancos_horas_versoes, bancos_horas_comparacao — todas com RLS</w:t>
            </w:r>
          </w:p>
        </w:tc>
      </w:tr>
      <w:tr>
        <w:tc>
          <w:tcPr>
            <w:tcW w:type="dxa" w:w="24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Colunas novas (opcionais)</w:t>
            </w:r>
          </w:p>
        </w:tc>
        <w:tc>
          <w:tcPr>
            <w:tcW w:type="dxa" w:w="717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empresas_clientes.modelo_banco_horas (legado | multiplo); de_para_categoria.modulo_id, updated_at, updated_by; requerimentos.banco_id; books.dados_consumo_bancos</w:t>
            </w:r>
          </w:p>
        </w:tc>
      </w:tr>
      <w:tr>
        <w:tc>
          <w:tcPr>
            <w:tcW w:type="dxa" w:w="24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Sem alteração até a etapa final</w:t>
            </w:r>
          </w:p>
        </w:tc>
        <w:tc>
          <w:tcPr>
            <w:tcW w:type="dxa" w:w="717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banco_horas_calculos e demais tabelas atuais, constraints, funções de baseline/repasse vigente, bancoHorasService e consumidores atuais</w:t>
            </w:r>
          </w:p>
        </w:tc>
      </w:tr>
      <w:tr>
        <w:tc>
          <w:tcPr>
            <w:tcW w:type="dxa" w:w="24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Consumo entre bancos</w:t>
            </w:r>
          </w:p>
        </w:tc>
        <w:tc>
          <w:tcPr>
            <w:tcW w:type="dxa" w:w="717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Coluna bancos_horas.consome_outros_bancos (boolean, padrão false); tabela bancos_horas_transferencias (empresa, mês/ano, banco de origem, banco de destino, horas, tickets, observação gerada); colunas consumido_outros_bancos, cedido_outros_bancos e saldo_apos_transferencia em bancos_horas_calculos. O mês de fechamento passa a ser calculado para todos os bancos da empresa em conjunto.</w:t>
            </w:r>
          </w:p>
        </w:tc>
      </w:tr>
      <w:tr>
        <w:tc>
          <w:tcPr>
            <w:tcW w:type="dxa" w:w="24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Novo cálculo</w:t>
            </w:r>
          </w:p>
        </w:tc>
        <w:tc>
          <w:tcPr>
            <w:tcW w:type="dxa" w:w="717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Módulo separado (classificador de banco + consulta de consumo + cálculo por banco), reaproveitando as regras de repasse e excedentes existentes</w:t>
            </w:r>
          </w:p>
        </w:tc>
      </w:tr>
      <w:tr>
        <w:tc>
          <w:tcPr>
            <w:tcW w:type="dxa" w:w="24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717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Aranda (caso_grupo / nome_grupo) → de_para_categoria.modulo_id → escopo do banco (produto, módulo, item de configuração) → Banco padrão</w:t>
            </w:r>
          </w:p>
        </w:tc>
      </w:tr>
      <w:tr>
        <w:tc>
          <w:tcPr>
            <w:tcW w:type="dxa" w:w="24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Pontos de bifurcação</w:t>
            </w:r>
          </w:p>
        </w:tc>
        <w:tc>
          <w:tcPr>
            <w:tcW w:type="dxa" w:w="717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Controle de Banco de Horas, geração de Book (dados e PDF), imagem do e-mail do Book, Saldo Parcial (coletor, e-mail e pacote do sync-api), utilitários de Excel, retificação de requerimentos</w:t>
            </w:r>
          </w:p>
        </w:tc>
      </w:tr>
      <w:tr>
        <w:tc>
          <w:tcPr>
            <w:tcW w:type="dxa" w:w="24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Telas novas</w:t>
            </w:r>
          </w:p>
        </w:tc>
        <w:tc>
          <w:tcPr>
            <w:tcW w:type="dxa" w:w="717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Produtos e Módulos, De-para de Grupos, Comparação Legado x Novo — registradas em screens/screen_permissions</w:t>
            </w:r>
          </w:p>
        </w:tc>
      </w:tr>
      <w:tr>
        <w:tc>
          <w:tcPr>
            <w:tcW w:type="dxa" w:w="24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Testes</w:t>
            </w:r>
          </w:p>
        </w:tc>
        <w:tc>
          <w:tcPr>
            <w:tcW w:type="dxa" w:w="717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Desenvolvimento orientado a testes; teste de equivalência do novo cálculo com o legado para todas as empresas AMS (12 meses)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Books SND · Especificação Funcional · Múltiplos Bancos de Horas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color w:val="2563E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E3A8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1E3A8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30e3f11f2a420fe4e31f76148fcdb3839c3fcb5.png"/><Relationship Id="rId10" Type="http://schemas.openxmlformats.org/officeDocument/2006/relationships/image" Target="media/5c4a602c97ddf5e1095d6f603d27369d7ef2834e.png"/><Relationship Id="rId11" Type="http://schemas.openxmlformats.org/officeDocument/2006/relationships/image" Target="media/3bc68e9b5a465a2b1b615cb652a4429ba13e772c.png"/><Relationship Id="rId12" Type="http://schemas.openxmlformats.org/officeDocument/2006/relationships/image" Target="media/2c7b4615844be5f773a5fdcac4aa13cdc1b1b029.png"/><Relationship Id="rId13" Type="http://schemas.openxmlformats.org/officeDocument/2006/relationships/image" Target="media/575b8929e6ad02be0af2359ac48fcae27e5be58d.png"/><Relationship Id="rId14" Type="http://schemas.openxmlformats.org/officeDocument/2006/relationships/image" Target="media/a397a8868d2dcdfeea7ed4b74a0e34ece92dd51b.png"/><Relationship Id="rId15" Type="http://schemas.openxmlformats.org/officeDocument/2006/relationships/image" Target="media/88fdc005f08282638eac4a400d9272a50bb6ce40.png"/><Relationship Id="rId16" Type="http://schemas.openxmlformats.org/officeDocument/2006/relationships/image" Target="media/d93e75799c48b61f2f32d33dfe036e7564e536ba.png"/><Relationship Id="rId17" Type="http://schemas.openxmlformats.org/officeDocument/2006/relationships/image" Target="media/f9fb6c716e07d33f22516c58fe8377dc0ae3fffe.png"/><Relationship Id="rId18" Type="http://schemas.openxmlformats.org/officeDocument/2006/relationships/image" Target="media/7bb2ab3414bd76cc96e4807958ed047164036dde.png"/><Relationship Id="rId19" Type="http://schemas.openxmlformats.org/officeDocument/2006/relationships/image" Target="media/7909214a2956e30859cd47bcc8a05dd95ece639c.png"/><Relationship Id="rId20" Type="http://schemas.openxmlformats.org/officeDocument/2006/relationships/image" Target="media/21474f20a5187329da037e9e2de988d0a13a6531.png"/><Relationship Id="rId21" Type="http://schemas.openxmlformats.org/officeDocument/2006/relationships/image" Target="media/43ac56164dcacfbb47740a896a5603374b08a300.png"/><Relationship Id="rId22" Type="http://schemas.openxmlformats.org/officeDocument/2006/relationships/image" Target="media/da76e690f3d71fd467881e7460afc2b94f1d08a7.png"/><Relationship Id="rId23" Type="http://schemas.openxmlformats.org/officeDocument/2006/relationships/image" Target="media/fff3c3d9effb9662d7bc5740c4c2d08a7c6015e6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Funcional — Múltiplos Bancos de Horas</dc:title>
  <dc:creator>Willian Faria</dc:creator>
  <cp:lastModifiedBy>Un-named</cp:lastModifiedBy>
  <cp:revision>1</cp:revision>
  <dcterms:created xsi:type="dcterms:W3CDTF">2026-10-07T18:06:08.592Z</dcterms:created>
  <dcterms:modified xsi:type="dcterms:W3CDTF">2026-10-07T18:06:08.595Z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