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5.3.0.0 -->
  <w:body>
    <w:p>
      <w:r w:rsidR="00A77B3E">
        <w:rPr>
          <w:rFonts w:ascii="Arial" w:eastAsia="Arial" w:hAnsi="Arial" w:cs="Arial"/>
          <w:vanish/>
          <w:color w:val="auto"/>
          <w:sz w:val="14"/>
        </w:rPr>
        <w:t>v1.1</w:t>
      </w:r>
    </w:p>
    <w:sdt>
      <w:sdtPr>
        <w:id w:val="98642026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Abax XBRL®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Importación de información de notas para el Documento de Instancia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TAXONOMÍA BMV ANEXO T 2016</w:t>
          </w: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versión 1.1</w:t>
          </w:r>
        </w:p>
        <w:p>
          <w:pPr>
            <w:spacing w:line="240" w:lineRule="auto"/>
            <w:jc w:val="center"/>
          </w:pPr>
        </w:p>
      </w:sdtContent>
    </w:sdt>
    <w:p>
      <w:pPr>
        <w:rPr>
          <w:rFonts w:ascii="Cambria" w:eastAsia="Cambria" w:hAnsi="Cambria" w:cs="Cambria"/>
          <w:b/>
          <w:vanish w:val="0"/>
          <w:color w:val="4F81BD"/>
          <w:sz w:val="28"/>
        </w:rPr>
      </w:pPr>
      <w:r>
        <w:br w:type="page"/>
      </w:r>
      <w:r>
        <w:rPr>
          <w:rFonts w:ascii="Cambria" w:eastAsia="Cambria" w:hAnsi="Cambria" w:cs="Cambria"/>
          <w:b/>
          <w:vanish w:val="0"/>
          <w:color w:val="4F81BD"/>
          <w:sz w:val="28"/>
        </w:rPr>
        <w:t>Contenido</w:t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instrText>TOC \o "1-3" \h \z \u</w:instrText>
      </w:r>
      <w:r>
        <w:fldChar w:fldCharType="separate"/>
      </w:r>
      <w:r>
        <w:fldChar w:fldCharType="begin"/>
      </w:r>
      <w:r>
        <w:rPr>
          <w:rStyle w:val="Hyperlink"/>
        </w:rPr>
        <w:instrText xml:space="preserve"> HYPERLINK \l "_Toc256000001"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Instrucciones de llenado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_Toc256000001 \h </w:instrText>
      </w:r>
      <w:r>
        <w:fldChar w:fldCharType="separate"/>
      </w:r>
      <w:r>
        <w:rPr>
          <w:rStyle w:val="Hyperlink"/>
        </w:rPr>
        <w:t>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"_Toc256000002"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[301100] Anexo T]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_Toc256000002 \h </w:instrText>
      </w:r>
      <w:r>
        <w:fldChar w:fldCharType="separate"/>
      </w:r>
      <w:r>
        <w:rPr>
          <w:rStyle w:val="Hyperlink"/>
        </w:rPr>
        <w:t>4</w:t>
      </w:r>
      <w:r>
        <w:fldChar w:fldCharType="end"/>
      </w:r>
      <w:r>
        <w:fldChar w:fldCharType="end"/>
      </w:r>
    </w:p>
    <w:p>
      <w:pPr>
        <w:pStyle w:val="Heading1"/>
      </w:pPr>
      <w:r>
        <w:fldChar w:fldCharType="end"/>
      </w:r>
      <w:r>
        <w:br w:type="page"/>
      </w:r>
      <w:bookmarkStart w:id="0" w:name="_Toc256000000"/>
      <w:bookmarkStart w:id="1" w:name="_Toc256000001"/>
      <w:r>
        <w:rPr>
          <w:rFonts w:ascii="Cambria" w:eastAsia="Cambria" w:hAnsi="Cambria" w:cs="Cambria"/>
          <w:color w:val="365F91"/>
          <w:sz w:val="36"/>
        </w:rPr>
        <w:t>Instrucciones de llenado</w:t>
      </w:r>
      <w:bookmarkEnd w:id="1"/>
      <w:bookmarkEnd w:id="0"/>
    </w:p>
    <w:sdt>
      <w:sdtPr>
        <w:id w:val="16433190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Para la correcta importación de las notas en un documento de instancia se debe de tener en cuenta lo siguiente: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Incluir el contenido inmediatamente debajo de la nota que se desee importar.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Se tiene que respetar la totalidad del documento sin eliminar conceptos.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se debe de guardar el documento en formato .docx (Office 2007 en adelante).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debe de tener como base esta plantilla para importar información (dotx).</w:t>
          </w:r>
        </w:p>
      </w:sdtContent>
    </w:sdt>
    <w:p>
      <w:pPr>
        <w:pStyle w:val="Heading1"/>
      </w:pPr>
      <w:r>
        <w:br w:type="page"/>
      </w:r>
      <w:bookmarkStart w:id="2" w:name="_Toc256000002"/>
      <w:r>
        <w:rPr>
          <w:rFonts w:ascii="Cambria" w:eastAsia="Cambria" w:hAnsi="Cambria" w:cs="Cambria"/>
          <w:color w:val="365F91"/>
          <w:sz w:val="36"/>
        </w:rPr>
        <w:t>[Formato: [301100] Anexo T]</w:t>
      </w:r>
      <w:bookmarkEnd w:id="2"/>
    </w:p>
    <w:sdt>
      <w:sdtPr>
        <w:id w:val="206670070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[XBRL-0001]    52) Tasa promedio ponderada de interés de la cartera - Procedimiento</w:t>
          </w:r>
        </w:p>
      </w:sdtContent>
    </w:sdt>
    <w:p/>
    <w:p/>
    <w:p/>
    <w:p/>
    <w:p/>
    <w:sdt>
      <w:sdtPr>
        <w:id w:val="195455991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[XBRL-0002]    53) Tasa de morosidad - Procedimiento</w:t>
          </w:r>
        </w:p>
      </w:sdtContent>
    </w:sdt>
    <w:p/>
    <w:p/>
    <w:p/>
    <w:p/>
    <w:p/>
    <w:sdt>
      <w:sdtPr>
        <w:id w:val="186667657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[XBRL-0003]    54) Tasa de prepago - Procedimiento</w:t>
          </w:r>
        </w:p>
      </w:sdtContent>
    </w:sdt>
    <w:p/>
    <w:p/>
    <w:p/>
    <w:p/>
    <w:p/>
    <w:sdt>
      <w:sdtPr>
        <w:id w:val="3267353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[XBRL-0004]    59) Saldo insoluto de los activos agrupados por su morosidad al final del periodo</w:t>
          </w:r>
        </w:p>
      </w:sdtContent>
    </w:sdt>
    <w:p/>
    <w:p/>
    <w:p/>
    <w:p/>
    <w:p/>
    <w:sdt>
      <w:sdtPr>
        <w:id w:val="11915391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[XBRL-0005]    60) Número de los activos agrupados por su morosidad al final del periodo</w:t>
          </w:r>
        </w:p>
      </w:sdtContent>
    </w:sdt>
    <w:p/>
    <w:p/>
    <w:p/>
    <w:p/>
    <w:p/>
    <w:sdt>
      <w:sdtPr>
        <w:id w:val="22090405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[XBRL-0006]    61) Garantías sobre los bienes, derechos o valores fideicomitidos</w:t>
          </w:r>
        </w:p>
      </w:sdtContent>
    </w:sdt>
    <w:p/>
    <w:p/>
    <w:p/>
    <w:p/>
    <w:p/>
    <w:sdt>
      <w:sdtPr>
        <w:id w:val="71517470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[XBRL-0007]    62) Contratos y acuerdos</w:t>
          </w:r>
        </w:p>
      </w:sdtContent>
    </w:sdt>
    <w:p/>
    <w:p/>
    <w:p/>
    <w:p/>
    <w:p/>
    <w:sdt>
      <w:sdtPr>
        <w:id w:val="26554583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[XBRL-0008]    63) Procesos judiciales, administrativos o arbitrales</w:t>
          </w:r>
        </w:p>
      </w:sdtContent>
    </w:sdt>
    <w:p/>
    <w:p/>
    <w:p/>
    <w:p/>
    <w:p/>
    <w:sdt>
      <w:sdtPr>
        <w:id w:val="178545666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[XBRL-0009]    64) Administradores</w:t>
          </w:r>
        </w:p>
      </w:sdtContent>
    </w:sdt>
    <w:p/>
    <w:p/>
    <w:p/>
    <w:p/>
    <w:p/>
    <w:sdt>
      <w:sdtPr>
        <w:id w:val="133529730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[XBRL-00010]    65) Información adicional</w:t>
          </w:r>
        </w:p>
      </w:sdtContent>
    </w:sdt>
    <w:p/>
    <w:p/>
    <w:p/>
    <w:p/>
    <w:p/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  <w:style w:type="paragraph" w:styleId="TOC1">
    <w:name w:val="toc 1"/>
    <w:basedOn w:val="Normal"/>
    <w:next w:val="Normal"/>
    <w:autoRedefine/>
    <w:rsid w:val="00805BCE"/>
  </w:style>
  <w:style w:type="character" w:styleId="Hyperlink">
    <w:name w:val="Hyperlink"/>
    <w:basedOn w:val="DefaultParagraphFont"/>
    <w:rsid w:val="00EF7B96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glossaryDocument" Target="glossary/document.xml" /><Relationship Id="rId5" Type="http://schemas.openxmlformats.org/officeDocument/2006/relationships/numbering" Target="numbering.xml" /><Relationship Id="rId6" Type="http://schemas.openxmlformats.org/officeDocument/2006/relationships/styles" Target="styles.xml" /></Relationships>
</file>

<file path=word/glossary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F9BC23-F379-46BC-83DC-DF50EF5F40B2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/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efaultTabStop w:val="720"/>
  <w:noPunctuationKerning/>
  <w:characterSpacingControl w:val="doNotCompress"/>
  <w:compat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77B5"/>
  </w:style>
  <w:style w:type="character" w:default="1" w:styleId="DefaultParagraphFont">
    <w:name w:val="Default Paragraph Font"/>
    <w:uiPriority w:val="1"/>
    <w:semiHidden/>
    <w:unhideWhenUsed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/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4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notas - v1.1</dc:title>
  <dc:creator>2HSoftware</dc:creator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 Plantilla">
    <vt:lpwstr>v1.1</vt:lpwstr>
  </property>
</Properties>
</file>