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121885052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PROS H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  <w:r>
        <w:rPr>
          <w:rFonts w:ascii="Cambria" w:eastAsia="Cambria" w:hAnsi="Cambria" w:cs="Cambria"/>
          <w:color w:val="365F91"/>
          <w:sz w:val="28"/>
        </w:rPr>
        <w:t>Contenido</w:t>
      </w:r>
    </w:p>
    <w:p>
      <w:pPr>
        <w:rPr>
          <w:rFonts w:ascii="Cambria" w:eastAsia="Cambria" w:hAnsi="Cambria" w:cs="Cambria"/>
          <w:color w:val="365F91"/>
          <w:sz w:val="28"/>
        </w:rPr>
      </w:pP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rPr>
          <w:rFonts w:ascii="Cambria" w:eastAsia="Cambria" w:hAnsi="Cambria" w:cs="Cambria"/>
          <w:color w:val="365F91"/>
          <w:sz w:val="28"/>
        </w:rPr>
        <w:fldChar w:fldCharType="begin"/>
      </w:r>
      <w:r>
        <w:rPr>
          <w:rFonts w:ascii="Cambria" w:eastAsia="Cambria" w:hAnsi="Cambria" w:cs="Cambria"/>
          <w:color w:val="365F91"/>
          <w:sz w:val="28"/>
        </w:rPr>
        <w:instrText>TOC \o "1-3" \h \z \u</w:instrText>
      </w:r>
      <w:r>
        <w:rPr>
          <w:rFonts w:ascii="Cambria" w:eastAsia="Cambria" w:hAnsi="Cambria" w:cs="Cambria"/>
          <w:color w:val="365F91"/>
          <w:sz w:val="28"/>
        </w:rP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"_Toc256000110"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_Toc256000110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[411000-H] Datos generales]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_Toc256000112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[412000-H] Portada prospecto]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_Toc256000114 \h </w:instrText>
      </w:r>
      <w:r>
        <w:fldChar w:fldCharType="separate"/>
      </w:r>
      <w:r>
        <w:rPr>
          <w:rStyle w:val="Hyperlink"/>
        </w:rPr>
        <w:t>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[413000-H] Información general]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_Toc256000116 \h </w:instrText>
      </w:r>
      <w:r>
        <w:fldChar w:fldCharType="separate"/>
      </w:r>
      <w:r>
        <w:rPr>
          <w:rStyle w:val="Hyperlink"/>
        </w:rPr>
        <w:t>10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[414000-H] La oferta]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_Toc256000118 \h </w:instrText>
      </w:r>
      <w:r>
        <w:fldChar w:fldCharType="separate"/>
      </w:r>
      <w:r>
        <w:rPr>
          <w:rStyle w:val="Hyperlink"/>
        </w:rPr>
        <w:t>11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[417000-H] La emisora]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_Toc256000120 \h </w:instrText>
      </w:r>
      <w:r>
        <w:fldChar w:fldCharType="separate"/>
      </w:r>
      <w:r>
        <w:rPr>
          <w:rStyle w:val="Hyperlink"/>
        </w:rPr>
        <w:t>16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[424000-H] Información financiera]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_Toc256000122 \h </w:instrText>
      </w:r>
      <w:r>
        <w:fldChar w:fldCharType="separate"/>
      </w:r>
      <w:r>
        <w:rPr>
          <w:rStyle w:val="Hyperlink"/>
        </w:rPr>
        <w:t>19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[427000-H] Administración]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_Toc256000124 \h </w:instrText>
      </w:r>
      <w:r>
        <w:fldChar w:fldCharType="separate"/>
      </w:r>
      <w:r>
        <w:rPr>
          <w:rStyle w:val="Hyperlink"/>
        </w:rPr>
        <w:t>21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[430000-H] Activos subyacentes]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_Toc256000126 \h </w:instrText>
      </w:r>
      <w:r>
        <w:fldChar w:fldCharType="separate"/>
      </w:r>
      <w:r>
        <w:rPr>
          <w:rStyle w:val="Hyperlink"/>
        </w:rPr>
        <w:t>22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[431000-H] Personas responsables]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_Toc256000128 \h </w:instrText>
      </w:r>
      <w:r>
        <w:fldChar w:fldCharType="separate"/>
      </w:r>
      <w:r>
        <w:rPr>
          <w:rStyle w:val="Hyperlink"/>
        </w:rPr>
        <w:t>23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"_Toc256000130"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[432000-H] Anexos]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_Toc256000130 \h </w:instrText>
      </w:r>
      <w:r>
        <w:fldChar w:fldCharType="separate"/>
      </w:r>
      <w:r>
        <w:rPr>
          <w:rStyle w:val="Hyperlink"/>
        </w:rPr>
        <w:t>24</w:t>
      </w:r>
      <w:r>
        <w:fldChar w:fldCharType="end"/>
      </w:r>
      <w:r>
        <w:fldChar w:fldCharType="end"/>
      </w:r>
    </w:p>
    <w:p>
      <w:pPr>
        <w:pStyle w:val="Heading1"/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fldChar w:fldCharType="end"/>
      </w: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00"/>
      <w:bookmarkStart w:id="1" w:name="_Toc256000002"/>
      <w:bookmarkStart w:id="2" w:name="_Toc256000006"/>
      <w:bookmarkStart w:id="3" w:name="_Toc256000012"/>
      <w:bookmarkStart w:id="4" w:name="_Toc256000020"/>
      <w:bookmarkStart w:id="5" w:name="_Toc256000030"/>
      <w:bookmarkStart w:id="6" w:name="_Toc256000042"/>
      <w:bookmarkStart w:id="7" w:name="_Toc256000056"/>
      <w:bookmarkStart w:id="8" w:name="_Toc256000072"/>
      <w:bookmarkStart w:id="9" w:name="_Toc256000090"/>
      <w:bookmarkStart w:id="10" w:name="_Toc256000110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10"/>
      <w:bookmarkEnd w:id="9"/>
      <w:bookmarkEnd w:id="8"/>
      <w:bookmarkEnd w:id="7"/>
      <w:bookmarkEnd w:id="6"/>
      <w:bookmarkEnd w:id="5"/>
      <w:bookmarkEnd w:id="4"/>
      <w:bookmarkEnd w:id="3"/>
      <w:bookmarkEnd w:id="2"/>
      <w:bookmarkEnd w:id="1"/>
      <w:bookmarkEnd w:id="0"/>
    </w:p>
    <w:p>
      <w:pPr>
        <w:pStyle w:val="Heading1"/>
      </w:pPr>
    </w:p>
    <w:sdt>
      <w:sdtPr>
        <w:id w:val="177219671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1" w:name="_Toc256000004"/>
      <w:bookmarkStart w:id="12" w:name="_Toc256000008"/>
      <w:bookmarkStart w:id="13" w:name="_Toc256000014"/>
      <w:bookmarkStart w:id="14" w:name="_Toc256000022"/>
      <w:bookmarkStart w:id="15" w:name="_Toc256000032"/>
      <w:bookmarkStart w:id="16" w:name="_Toc256000044"/>
      <w:bookmarkStart w:id="17" w:name="_Toc256000058"/>
      <w:bookmarkStart w:id="18" w:name="_Toc256000074"/>
      <w:bookmarkStart w:id="19" w:name="_Toc256000092"/>
      <w:bookmarkStart w:id="20" w:name="_Toc256000112"/>
      <w:r>
        <w:rPr>
          <w:rFonts w:ascii="Cambria" w:eastAsia="Cambria" w:hAnsi="Cambria" w:cs="Cambria"/>
          <w:color w:val="365F91"/>
          <w:sz w:val="36"/>
        </w:rPr>
        <w:t>[Formato: [411000-H] Datos generales]</w:t>
      </w:r>
      <w:bookmarkEnd w:id="20"/>
      <w:bookmarkEnd w:id="19"/>
      <w:bookmarkEnd w:id="18"/>
      <w:bookmarkEnd w:id="17"/>
      <w:bookmarkEnd w:id="16"/>
      <w:bookmarkEnd w:id="15"/>
      <w:bookmarkEnd w:id="14"/>
      <w:bookmarkEnd w:id="13"/>
      <w:bookmarkEnd w:id="12"/>
      <w:bookmarkEnd w:id="11"/>
    </w:p>
    <w:p>
      <w:pPr>
        <w:pStyle w:val="Heading1"/>
      </w:pPr>
    </w:p>
    <w:sdt>
      <w:sdtPr>
        <w:id w:val="113633342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Acontecimientos Recientes</w:t>
          </w:r>
        </w:p>
      </w:sdtContent>
    </w:sdt>
    <w:p/>
    <w:p/>
    <w:p/>
    <w:p/>
    <w:p/>
    <w:sdt>
      <w:sdtPr>
        <w:id w:val="145918421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Información en caso de emisiones sobre acciones realizadas por Instituciones Financieras en su carácter de Fiduciario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1" w:name="_Toc256000010"/>
      <w:bookmarkStart w:id="22" w:name="_Toc256000016"/>
      <w:bookmarkStart w:id="23" w:name="_Toc256000024"/>
      <w:bookmarkStart w:id="24" w:name="_Toc256000034"/>
      <w:bookmarkStart w:id="25" w:name="_Toc256000046"/>
      <w:bookmarkStart w:id="26" w:name="_Toc256000060"/>
      <w:bookmarkStart w:id="27" w:name="_Toc256000076"/>
      <w:bookmarkStart w:id="28" w:name="_Toc256000094"/>
      <w:bookmarkStart w:id="29" w:name="_Toc256000114"/>
      <w:r>
        <w:rPr>
          <w:rFonts w:ascii="Cambria" w:eastAsia="Cambria" w:hAnsi="Cambria" w:cs="Cambria"/>
          <w:color w:val="365F91"/>
          <w:sz w:val="36"/>
        </w:rPr>
        <w:t>[Formato: [412000-H] Portada prospecto]</w:t>
      </w:r>
      <w:bookmarkEnd w:id="29"/>
      <w:bookmarkEnd w:id="28"/>
      <w:bookmarkEnd w:id="27"/>
      <w:bookmarkEnd w:id="26"/>
      <w:bookmarkEnd w:id="25"/>
      <w:bookmarkEnd w:id="24"/>
      <w:bookmarkEnd w:id="23"/>
      <w:bookmarkEnd w:id="22"/>
      <w:bookmarkEnd w:id="21"/>
    </w:p>
    <w:p>
      <w:pPr>
        <w:pStyle w:val="Heading1"/>
      </w:pPr>
    </w:p>
    <w:sdt>
      <w:sdtPr>
        <w:id w:val="74718838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Denominación de la Emisora</w:t>
          </w:r>
        </w:p>
      </w:sdtContent>
    </w:sdt>
    <w:p/>
    <w:p/>
    <w:p/>
    <w:p/>
    <w:p/>
    <w:sdt>
      <w:sdtPr>
        <w:id w:val="172540778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Institución fiduciaria</w:t>
          </w:r>
        </w:p>
      </w:sdtContent>
    </w:sdt>
    <w:p/>
    <w:p/>
    <w:p/>
    <w:p/>
    <w:p/>
    <w:sdt>
      <w:sdtPr>
        <w:id w:val="207642454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Fideicomitente</w:t>
          </w:r>
        </w:p>
      </w:sdtContent>
    </w:sdt>
    <w:p/>
    <w:p/>
    <w:p/>
    <w:p/>
    <w:p/>
    <w:sdt>
      <w:sdtPr>
        <w:id w:val="174808169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Nombre de los accionistas vendedores</w:t>
          </w:r>
        </w:p>
      </w:sdtContent>
    </w:sdt>
    <w:p/>
    <w:p/>
    <w:p/>
    <w:p/>
    <w:p/>
    <w:sdt>
      <w:sdtPr>
        <w:id w:val="1638031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Recurso neto que obtendrá la emisora con la colocación</w:t>
          </w:r>
        </w:p>
      </w:sdtContent>
    </w:sdt>
    <w:p/>
    <w:p/>
    <w:p/>
    <w:p/>
    <w:p/>
    <w:sdt>
      <w:sdtPr>
        <w:id w:val="164364704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Posibles adquirentes: “Personas físicas y morales cuando su régimen de inversión lo prevea expresamente”</w:t>
          </w:r>
        </w:p>
      </w:sdtContent>
    </w:sdt>
    <w:p/>
    <w:p/>
    <w:p/>
    <w:p/>
    <w:p/>
    <w:sdt>
      <w:sdtPr>
        <w:id w:val="73470673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En su caso, denominación de los intermediarios participantes del sindicato colocador</w:t>
          </w:r>
        </w:p>
      </w:sdtContent>
    </w:sdt>
    <w:p/>
    <w:p/>
    <w:p/>
    <w:p/>
    <w:p/>
    <w:sdt>
      <w:sdtPr>
        <w:id w:val="75477495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En su caso, la mención de cualquier riesgo asociado a la operación de que se trate</w:t>
          </w:r>
        </w:p>
      </w:sdtContent>
    </w:sdt>
    <w:p/>
    <w:p/>
    <w:p/>
    <w:p/>
    <w:p/>
    <w:sdt>
      <w:sdtPr>
        <w:id w:val="107948726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[XBRL-00011]    Número de acciones representativas del capital social de la emisora, antes y despues de la oferta</w:t>
          </w:r>
        </w:p>
      </w:sdtContent>
    </w:sdt>
    <w:p/>
    <w:p/>
    <w:p/>
    <w:p/>
    <w:p/>
    <w:sdt>
      <w:sdtPr>
        <w:id w:val="82261647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[XBRL-00012]    En su caso, forma en que se deberá ejercer la sobreasignación</w:t>
          </w:r>
        </w:p>
      </w:sdtContent>
    </w:sdt>
    <w:p/>
    <w:p/>
    <w:p/>
    <w:p/>
    <w:p/>
    <w:sdt>
      <w:sdtPr>
        <w:id w:val="9978679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[XBRL-00013]    Revelar si en forma simultánea a la oferta pública se está realizando cualquier colaboración privada de valores iguales o similares, o bien, si se realiza alguna oferta pública en otro país</w:t>
          </w:r>
        </w:p>
      </w:sdtContent>
    </w:sdt>
    <w:p/>
    <w:p/>
    <w:p/>
    <w:p/>
    <w:p/>
    <w:sdt>
      <w:sdtPr>
        <w:id w:val="29090315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[XBRL-00014]    Tratándose de acciones sin derecho a voto, voto restringido o cualquier otro mecanismo a través del cual se limiten los derechos corporativos, deberá relevarse dicha situación y hacerse referencia a los factores de riesgo, donde se describirán con mayor detalle los mismos</w:t>
          </w:r>
        </w:p>
      </w:sdtContent>
    </w:sdt>
    <w:p/>
    <w:p/>
    <w:p/>
    <w:p/>
    <w:p/>
    <w:sdt>
      <w:sdtPr>
        <w:id w:val="15442408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[XBRL-00015]    Bases para determinación del rendimiento</w:t>
          </w:r>
        </w:p>
      </w:sdtContent>
    </w:sdt>
    <w:p/>
    <w:p/>
    <w:p/>
    <w:p/>
    <w:p/>
    <w:sdt>
      <w:sdtPr>
        <w:id w:val="124112169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[XBRL-00016]    Periodicidad y forma de amortización de los títulos y, en su caso, señalar las causas y tratamiento de amortización anticipada</w:t>
          </w:r>
        </w:p>
      </w:sdtContent>
    </w:sdt>
    <w:p/>
    <w:p/>
    <w:p/>
    <w:p/>
    <w:p/>
    <w:sdt>
      <w:sdtPr>
        <w:id w:val="9874391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[XBRL-00017]    Lugar y forma de pago de intereses o rendimientos y principal</w:t>
          </w:r>
        </w:p>
      </w:sdtContent>
    </w:sdt>
    <w:p/>
    <w:p/>
    <w:p/>
    <w:p/>
    <w:p/>
    <w:sdt>
      <w:sdtPr>
        <w:id w:val="203226514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[XBRL-00018]    Datos relativos al contrato de fideicomiso</w:t>
          </w:r>
        </w:p>
      </w:sdtContent>
    </w:sdt>
    <w:p/>
    <w:p/>
    <w:p/>
    <w:p/>
    <w:p/>
    <w:sdt>
      <w:sdtPr>
        <w:id w:val="41020294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[XBRL-00019]    Características o términos generales de los valores a fideicomitir</w:t>
          </w:r>
        </w:p>
      </w:sdtContent>
    </w:sdt>
    <w:p/>
    <w:p/>
    <w:p/>
    <w:p/>
    <w:p/>
    <w:sdt>
      <w:sdtPr>
        <w:id w:val="42433616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[XBRL-00020]    Derechos que confieren los valores emitidos al amparo del fideicomiso</w:t>
          </w:r>
        </w:p>
      </w:sdtContent>
    </w:sdt>
    <w:p/>
    <w:p/>
    <w:p/>
    <w:p/>
    <w:p/>
    <w:sdt>
      <w:sdtPr>
        <w:id w:val="185697165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[XBRL-00021]    Forma de amortización de los títulos</w:t>
          </w:r>
        </w:p>
      </w:sdtContent>
    </w:sdt>
    <w:p/>
    <w:p/>
    <w:p/>
    <w:p/>
    <w:p/>
    <w:sdt>
      <w:sdtPr>
        <w:id w:val="35291524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[XBRL-00022]    Denominación del representante común de los tenedores de los títulos</w:t>
          </w:r>
        </w:p>
      </w:sdtContent>
    </w:sdt>
    <w:p/>
    <w:p/>
    <w:p/>
    <w:p/>
    <w:p/>
    <w:sdt>
      <w:sdtPr>
        <w:id w:val="81897737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[XBRL-00023]    En su caso, dictamen valuatorio, tratándose de valores emitidos al amparo de un fideicomiso</w:t>
          </w:r>
        </w:p>
      </w:sdtContent>
    </w:sdt>
    <w:p/>
    <w:p/>
    <w:p/>
    <w:p/>
    <w:p/>
    <w:sdt>
      <w:sdtPr>
        <w:id w:val="14784064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[XBRL-00024]    Bienes, derechos o valores fideicomitidos</w:t>
          </w:r>
        </w:p>
      </w:sdtContent>
    </w:sdt>
    <w:p/>
    <w:p/>
    <w:p/>
    <w:p/>
    <w:p/>
    <w:sdt>
      <w:sdtPr>
        <w:id w:val="12477339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[XBRL-00025]    Características o términos generales de los activos subyacentes</w:t>
          </w:r>
        </w:p>
      </w:sdtContent>
    </w:sdt>
    <w:p/>
    <w:p/>
    <w:p/>
    <w:p/>
    <w:p/>
    <w:sdt>
      <w:sdtPr>
        <w:id w:val="169836902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[XBRL-00026]    Comportamiento histórico del activo subyacente</w:t>
          </w:r>
        </w:p>
      </w:sdtContent>
    </w:sdt>
    <w:p/>
    <w:p/>
    <w:p/>
    <w:p/>
    <w:p/>
    <w:sdt>
      <w:sdtPr>
        <w:id w:val="38843827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[XBRL-00027]    Capital garantizado</w:t>
          </w:r>
        </w:p>
      </w:sdtContent>
    </w:sdt>
    <w:p/>
    <w:p/>
    <w:p/>
    <w:p/>
    <w:p/>
    <w:sdt>
      <w:sdtPr>
        <w:id w:val="13298289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[XBRL-00028]    Rendimiento y procedimiento de cálculo</w:t>
          </w:r>
        </w:p>
      </w:sdtContent>
    </w:sdt>
    <w:p/>
    <w:p/>
    <w:p/>
    <w:p/>
    <w:p/>
    <w:sdt>
      <w:sdtPr>
        <w:id w:val="26377217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[XBRL-00029]    En su caso, rendimiento mínimo</w:t>
          </w:r>
        </w:p>
      </w:sdtContent>
    </w:sdt>
    <w:p/>
    <w:p/>
    <w:p/>
    <w:p/>
    <w:p/>
    <w:sdt>
      <w:sdtPr>
        <w:id w:val="117232944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[XBRL-00030]    Periodicidad y forma de amortización de los títulos y, en su caso, señalar causas y tratamiento de amortización anticipada tratándose de valores estructurados</w:t>
          </w:r>
        </w:p>
      </w:sdtContent>
    </w:sdt>
    <w:p/>
    <w:p/>
    <w:p/>
    <w:p/>
    <w:p/>
    <w:sdt>
      <w:sdtPr>
        <w:id w:val="136868076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[XBRL-00031]    Lugar, periodicidad y forma de pago de rendimientos</w:t>
          </w:r>
        </w:p>
      </w:sdtContent>
    </w:sdt>
    <w:p/>
    <w:p/>
    <w:p/>
    <w:p/>
    <w:p/>
    <w:sdt>
      <w:sdtPr>
        <w:id w:val="200371384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[XBRL-00032]    Lugar y forma de pago de amortización, en su caso</w:t>
          </w:r>
        </w:p>
      </w:sdtContent>
    </w:sdt>
    <w:p/>
    <w:p/>
    <w:p/>
    <w:p/>
    <w:p/>
    <w:sdt>
      <w:sdtPr>
        <w:id w:val="123792813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[XBRL-00033]    En su caso, dictamen valuatorio, tratándose de valores estructurados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0" w:name="_Toc256000018"/>
      <w:bookmarkStart w:id="31" w:name="_Toc256000026"/>
      <w:bookmarkStart w:id="32" w:name="_Toc256000036"/>
      <w:bookmarkStart w:id="33" w:name="_Toc256000048"/>
      <w:bookmarkStart w:id="34" w:name="_Toc256000062"/>
      <w:bookmarkStart w:id="35" w:name="_Toc256000078"/>
      <w:bookmarkStart w:id="36" w:name="_Toc256000096"/>
      <w:bookmarkStart w:id="37" w:name="_Toc256000116"/>
      <w:r>
        <w:rPr>
          <w:rFonts w:ascii="Cambria" w:eastAsia="Cambria" w:hAnsi="Cambria" w:cs="Cambria"/>
          <w:color w:val="365F91"/>
          <w:sz w:val="36"/>
        </w:rPr>
        <w:t>[Formato: [413000-H] Información general]</w:t>
      </w:r>
      <w:bookmarkEnd w:id="37"/>
      <w:bookmarkEnd w:id="36"/>
      <w:bookmarkEnd w:id="35"/>
      <w:bookmarkEnd w:id="34"/>
      <w:bookmarkEnd w:id="33"/>
      <w:bookmarkEnd w:id="32"/>
      <w:bookmarkEnd w:id="31"/>
      <w:bookmarkEnd w:id="30"/>
    </w:p>
    <w:p>
      <w:pPr>
        <w:pStyle w:val="Heading1"/>
      </w:pPr>
    </w:p>
    <w:sdt>
      <w:sdtPr>
        <w:id w:val="175881040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[XBRL-00034]    Glosario de términos y definiciones</w:t>
          </w:r>
        </w:p>
      </w:sdtContent>
    </w:sdt>
    <w:p/>
    <w:p/>
    <w:p/>
    <w:p/>
    <w:p/>
    <w:sdt>
      <w:sdtPr>
        <w:id w:val="143288901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[XBRL-00035]    Resumen ejecutivo</w:t>
          </w:r>
        </w:p>
      </w:sdtContent>
    </w:sdt>
    <w:p/>
    <w:p/>
    <w:p/>
    <w:p/>
    <w:p/>
    <w:sdt>
      <w:sdtPr>
        <w:id w:val="7501811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[XBRL-00036]    Factores de riesgo</w:t>
          </w:r>
        </w:p>
      </w:sdtContent>
    </w:sdt>
    <w:p/>
    <w:p/>
    <w:p/>
    <w:p/>
    <w:p/>
    <w:sdt>
      <w:sdtPr>
        <w:id w:val="82417742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[XBRL-00037]    Otros Valores</w:t>
          </w:r>
        </w:p>
      </w:sdtContent>
    </w:sdt>
    <w:p/>
    <w:p/>
    <w:p/>
    <w:p/>
    <w:p/>
    <w:sdt>
      <w:sdtPr>
        <w:id w:val="7170930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[XBRL-00038]    Documentos de carácter público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8" w:name="_Toc256000028"/>
      <w:bookmarkStart w:id="39" w:name="_Toc256000038"/>
      <w:bookmarkStart w:id="40" w:name="_Toc256000050"/>
      <w:bookmarkStart w:id="41" w:name="_Toc256000064"/>
      <w:bookmarkStart w:id="42" w:name="_Toc256000080"/>
      <w:bookmarkStart w:id="43" w:name="_Toc256000098"/>
      <w:bookmarkStart w:id="44" w:name="_Toc256000118"/>
      <w:r>
        <w:rPr>
          <w:rFonts w:ascii="Cambria" w:eastAsia="Cambria" w:hAnsi="Cambria" w:cs="Cambria"/>
          <w:color w:val="365F91"/>
          <w:sz w:val="36"/>
        </w:rPr>
        <w:t>[Formato: [414000-H] La oferta]</w:t>
      </w:r>
      <w:bookmarkEnd w:id="44"/>
      <w:bookmarkEnd w:id="43"/>
      <w:bookmarkEnd w:id="42"/>
      <w:bookmarkEnd w:id="41"/>
      <w:bookmarkEnd w:id="40"/>
      <w:bookmarkEnd w:id="39"/>
      <w:bookmarkEnd w:id="38"/>
    </w:p>
    <w:p>
      <w:pPr>
        <w:pStyle w:val="Heading1"/>
      </w:pPr>
    </w:p>
    <w:sdt>
      <w:sdtPr>
        <w:id w:val="36227657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[XBRL-00039]    Características de la oferta</w:t>
          </w:r>
        </w:p>
      </w:sdtContent>
    </w:sdt>
    <w:p/>
    <w:p/>
    <w:p/>
    <w:p/>
    <w:p/>
    <w:sdt>
      <w:sdtPr>
        <w:id w:val="179654155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[XBRL-00040]    Otras consideraciones de la oferta</w:t>
          </w:r>
        </w:p>
      </w:sdtContent>
    </w:sdt>
    <w:p/>
    <w:p/>
    <w:p/>
    <w:p/>
    <w:p/>
    <w:sdt>
      <w:sdtPr>
        <w:id w:val="28518855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[XBRL-00041]    Posibles adquirentes: “Personas físicas y morales cuando su régimen de inversión lo prevea expresamente”</w:t>
          </w:r>
        </w:p>
      </w:sdtContent>
    </w:sdt>
    <w:p/>
    <w:p/>
    <w:p/>
    <w:p/>
    <w:p/>
    <w:sdt>
      <w:sdtPr>
        <w:id w:val="75679940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[XBRL-00042]    Mención del acta de la asamblea general extraordinaria de accionistas o acuerdo del consejo de administración, en lo relativo a la aprobación de la emisión de los títulos, en su caso.</w:t>
          </w:r>
        </w:p>
      </w:sdtContent>
    </w:sdt>
    <w:p/>
    <w:p/>
    <w:p/>
    <w:p/>
    <w:p/>
    <w:sdt>
      <w:sdtPr>
        <w:id w:val="188324191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[XBRL-00043]    Explicación descriptiva y esquemática de la operación que se pretende llevar a cabo</w:t>
          </w:r>
        </w:p>
      </w:sdtContent>
    </w:sdt>
    <w:p/>
    <w:p/>
    <w:p/>
    <w:p/>
    <w:p/>
    <w:sdt>
      <w:sdtPr>
        <w:id w:val="16667530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[XBRL-00044]    Mención de que los tenedores de éstos valores se encuentran en desventaja en relación con los accionistas que detentan acciones con pleno derecho de voto.</w:t>
          </w:r>
        </w:p>
      </w:sdtContent>
    </w:sdt>
    <w:p/>
    <w:p/>
    <w:p/>
    <w:p/>
    <w:p/>
    <w:sdt>
      <w:sdtPr>
        <w:id w:val="21270883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[XBRL-00045]    Señalamiento de la forma en que estarán representadas las acciones</w:t>
          </w:r>
        </w:p>
      </w:sdtContent>
    </w:sdt>
    <w:p/>
    <w:p/>
    <w:p/>
    <w:p/>
    <w:p/>
    <w:sdt>
      <w:sdtPr>
        <w:id w:val="16555469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[XBRL-00046]    Mencionar la calificación sobre el riesgo crediticio de la emisión o del programa expedida por cuando menos una institución calificadora de valores cuya fecha de expedición no sea mayor a 90 días a la de colocación.</w:t>
          </w:r>
        </w:p>
      </w:sdtContent>
    </w:sdt>
    <w:p/>
    <w:p/>
    <w:p/>
    <w:p/>
    <w:p/>
    <w:sdt>
      <w:sdtPr>
        <w:id w:val="183093690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[XBRL-00047]    Forma de ejecutar o hacer efectiva la garantía</w:t>
          </w:r>
        </w:p>
      </w:sdtContent>
    </w:sdt>
    <w:p/>
    <w:p/>
    <w:p/>
    <w:p/>
    <w:p/>
    <w:sdt>
      <w:sdtPr>
        <w:id w:val="47945811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[XBRL-00048]    En el caso de títulos con garantía hipotecaria especificar el valor de los bienes otorgados en garantía, descripción de los mismos y los datos del avalúo vigente</w:t>
          </w:r>
        </w:p>
      </w:sdtContent>
    </w:sdt>
    <w:p/>
    <w:p/>
    <w:p/>
    <w:p/>
    <w:p/>
    <w:sdt>
      <w:sdtPr>
        <w:id w:val="47253135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[XBRL-00049]    Mencionar si los bienes dados en garantía se encuentran asegurados y los datos de la póliza.</w:t>
          </w:r>
        </w:p>
      </w:sdtContent>
    </w:sdt>
    <w:p/>
    <w:p/>
    <w:p/>
    <w:p/>
    <w:p/>
    <w:sdt>
      <w:sdtPr>
        <w:id w:val="33015450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[XBRL-00050]    Si los títulos cuentan con garantía fiduciaria, incluir extracto del contrato del fideicomiso, así como el valor de los bienes según avalúo vigente y los datos de éste, en su caso.</w:t>
          </w:r>
        </w:p>
      </w:sdtContent>
    </w:sdt>
    <w:p/>
    <w:p/>
    <w:p/>
    <w:p/>
    <w:p/>
    <w:sdt>
      <w:sdtPr>
        <w:id w:val="75645502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[XBRL-00051]    Bases para determinación del rendimiento</w:t>
          </w:r>
        </w:p>
      </w:sdtContent>
    </w:sdt>
    <w:p/>
    <w:p/>
    <w:p/>
    <w:p/>
    <w:p/>
    <w:sdt>
      <w:sdtPr>
        <w:id w:val="81367087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[XBRL-00052]    Tabla de amortizaciones.</w:t>
          </w:r>
        </w:p>
      </w:sdtContent>
    </w:sdt>
    <w:p/>
    <w:p/>
    <w:p/>
    <w:p/>
    <w:p/>
    <w:sdt>
      <w:sdtPr>
        <w:id w:val="205501290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[XBRL-00053]    Periodicidad y forma de amortización de los títulos y, en su caso, señalar las causas y tratamiento de amortización anticipada</w:t>
          </w:r>
        </w:p>
      </w:sdtContent>
    </w:sdt>
    <w:p/>
    <w:p/>
    <w:p/>
    <w:p/>
    <w:p/>
    <w:sdt>
      <w:sdtPr>
        <w:id w:val="169780084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[XBRL-00054]    Limitantes a los que se encontrará sujeta la emisora durante la vigencia de la emisión</w:t>
          </w:r>
        </w:p>
      </w:sdtContent>
    </w:sdt>
    <w:p/>
    <w:p/>
    <w:p/>
    <w:p/>
    <w:p/>
    <w:sdt>
      <w:sdtPr>
        <w:id w:val="20383872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[XBRL-00055]    Revelar los términos de cualquier cláusula por medio de la cual se permita incrementar el número de títulos sin autorización de los tenedores.</w:t>
          </w:r>
        </w:p>
      </w:sdtContent>
    </w:sdt>
    <w:p/>
    <w:p/>
    <w:p/>
    <w:p/>
    <w:p/>
    <w:sdt>
      <w:sdtPr>
        <w:id w:val="183007172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[XBRL-00056]    Transcripción de otros términos relevantes del título y, en su caso, del acta de emisión</w:t>
          </w:r>
        </w:p>
      </w:sdtContent>
    </w:sdt>
    <w:p/>
    <w:p/>
    <w:p/>
    <w:p/>
    <w:p/>
    <w:sdt>
      <w:sdtPr>
        <w:id w:val="22445249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[XBRL-00057]    Identificación de la fuente de los recursos necesarios para hacer frente a las obligaciones de pago de los títulos</w:t>
          </w:r>
        </w:p>
      </w:sdtContent>
    </w:sdt>
    <w:p/>
    <w:p/>
    <w:p/>
    <w:p/>
    <w:p/>
    <w:sdt>
      <w:sdtPr>
        <w:id w:val="105008046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[XBRL-00058]    Resumen del contrato de fideicomiso incluyendo las obligaciones del fideicomitente.</w:t>
          </w:r>
        </w:p>
      </w:sdtContent>
    </w:sdt>
    <w:p/>
    <w:p/>
    <w:p/>
    <w:p/>
    <w:p/>
    <w:sdt>
      <w:sdtPr>
        <w:id w:val="140360066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[XBRL-00059]    Destino de los fondos</w:t>
          </w:r>
        </w:p>
      </w:sdtContent>
    </w:sdt>
    <w:p/>
    <w:p/>
    <w:p/>
    <w:p/>
    <w:p/>
    <w:sdt>
      <w:sdtPr>
        <w:id w:val="64228725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[XBRL-00060]    Plan de distribución</w:t>
          </w:r>
        </w:p>
      </w:sdtContent>
    </w:sdt>
    <w:p/>
    <w:p/>
    <w:p/>
    <w:p/>
    <w:p/>
    <w:sdt>
      <w:sdtPr>
        <w:id w:val="148989800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[XBRL-00061]    Estructura de capital después de la oferta</w:t>
          </w:r>
        </w:p>
      </w:sdtContent>
    </w:sdt>
    <w:p/>
    <w:p/>
    <w:p/>
    <w:p/>
    <w:p/>
    <w:sdt>
      <w:sdtPr>
        <w:id w:val="7811543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[XBRL-00062]    Funciones del representante común</w:t>
          </w:r>
        </w:p>
      </w:sdtContent>
    </w:sdt>
    <w:p/>
    <w:p/>
    <w:p/>
    <w:p/>
    <w:p/>
    <w:sdt>
      <w:sdtPr>
        <w:id w:val="19993752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[XBRL-00063]    Nombres de personas con participación relevante en la oferta</w:t>
          </w:r>
        </w:p>
      </w:sdtContent>
    </w:sdt>
    <w:p/>
    <w:p/>
    <w:p/>
    <w:p/>
    <w:p/>
    <w:sdt>
      <w:sdtPr>
        <w:id w:val="58116585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[XBRL-00064]    Dilución</w:t>
          </w:r>
        </w:p>
      </w:sdtContent>
    </w:sdt>
    <w:p/>
    <w:p/>
    <w:p/>
    <w:p/>
    <w:p/>
    <w:sdt>
      <w:sdtPr>
        <w:id w:val="68422032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[XBRL-00065]    Accionistas vendedores</w:t>
          </w:r>
        </w:p>
      </w:sdtContent>
    </w:sdt>
    <w:p/>
    <w:p/>
    <w:p/>
    <w:p/>
    <w:p/>
    <w:sdt>
      <w:sdtPr>
        <w:id w:val="173264098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[XBRL-00066]    Información del mercado de Valores</w:t>
          </w:r>
        </w:p>
      </w:sdtContent>
    </w:sdt>
    <w:p/>
    <w:p/>
    <w:p/>
    <w:p/>
    <w:p/>
    <w:sdt>
      <w:sdtPr>
        <w:id w:val="149570830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[XBRL-00067]    Denominación del formador de mercado</w:t>
          </w:r>
        </w:p>
      </w:sdtContent>
    </w:sdt>
    <w:p/>
    <w:p/>
    <w:p/>
    <w:p/>
    <w:p/>
    <w:sdt>
      <w:sdtPr>
        <w:id w:val="134956454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[XBRL-00068]    Identificación de los valores con los que operará el formador de mercado.</w:t>
          </w:r>
        </w:p>
      </w:sdtContent>
    </w:sdt>
    <w:p/>
    <w:p/>
    <w:p/>
    <w:p/>
    <w:p/>
    <w:sdt>
      <w:sdtPr>
        <w:id w:val="58764659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[XBRL-00069]    Duración del contrato con el formador de mercado</w:t>
          </w:r>
        </w:p>
      </w:sdtContent>
    </w:sdt>
    <w:p/>
    <w:p/>
    <w:p/>
    <w:p/>
    <w:p/>
    <w:sdt>
      <w:sdtPr>
        <w:id w:val="118677966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[XBRL-00070]    Descripción de los servicios que prestará el formador de mercado, así como los términos y condiciones generales de contratación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5" w:name="_Toc256000040"/>
      <w:bookmarkStart w:id="46" w:name="_Toc256000052"/>
      <w:bookmarkStart w:id="47" w:name="_Toc256000066"/>
      <w:bookmarkStart w:id="48" w:name="_Toc256000082"/>
      <w:bookmarkStart w:id="49" w:name="_Toc256000100"/>
      <w:bookmarkStart w:id="50" w:name="_Toc256000120"/>
      <w:r>
        <w:rPr>
          <w:rFonts w:ascii="Cambria" w:eastAsia="Cambria" w:hAnsi="Cambria" w:cs="Cambria"/>
          <w:color w:val="365F91"/>
          <w:sz w:val="36"/>
        </w:rPr>
        <w:t>[Formato: [417000-H] La emisora]</w:t>
      </w:r>
      <w:bookmarkEnd w:id="50"/>
      <w:bookmarkEnd w:id="49"/>
      <w:bookmarkEnd w:id="48"/>
      <w:bookmarkEnd w:id="47"/>
      <w:bookmarkEnd w:id="46"/>
      <w:bookmarkEnd w:id="45"/>
    </w:p>
    <w:p>
      <w:pPr>
        <w:pStyle w:val="Heading1"/>
      </w:pPr>
    </w:p>
    <w:sdt>
      <w:sdtPr>
        <w:id w:val="14846004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[XBRL-00071]    Historia y desarrollo de la emisora</w:t>
          </w:r>
        </w:p>
      </w:sdtContent>
    </w:sdt>
    <w:p/>
    <w:p/>
    <w:p/>
    <w:p/>
    <w:p/>
    <w:sdt>
      <w:sdtPr>
        <w:id w:val="64213732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[XBRL-00072]    Descripción del negocio</w:t>
          </w:r>
        </w:p>
      </w:sdtContent>
    </w:sdt>
    <w:p/>
    <w:p/>
    <w:p/>
    <w:p/>
    <w:p/>
    <w:sdt>
      <w:sdtPr>
        <w:id w:val="27946801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[XBRL-00073]    Actividad Principal</w:t>
          </w:r>
        </w:p>
      </w:sdtContent>
    </w:sdt>
    <w:p/>
    <w:p/>
    <w:p/>
    <w:p/>
    <w:p/>
    <w:sdt>
      <w:sdtPr>
        <w:id w:val="187928925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[XBRL-00074]    Canales de distribución</w:t>
          </w:r>
        </w:p>
      </w:sdtContent>
    </w:sdt>
    <w:p/>
    <w:p/>
    <w:p/>
    <w:p/>
    <w:p/>
    <w:sdt>
      <w:sdtPr>
        <w:id w:val="168120415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[XBRL-00075]    Patentes, licencias, marcas y otros contratos</w:t>
          </w:r>
        </w:p>
      </w:sdtContent>
    </w:sdt>
    <w:p/>
    <w:p/>
    <w:p/>
    <w:p/>
    <w:p/>
    <w:sdt>
      <w:sdtPr>
        <w:id w:val="5323316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[XBRL-00076]    Principales clientes</w:t>
          </w:r>
        </w:p>
      </w:sdtContent>
    </w:sdt>
    <w:p/>
    <w:p/>
    <w:p/>
    <w:p/>
    <w:p/>
    <w:sdt>
      <w:sdtPr>
        <w:id w:val="117749170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[XBRL-00077]    Legislación aplicable y situación tributaria</w:t>
          </w:r>
        </w:p>
      </w:sdtContent>
    </w:sdt>
    <w:p/>
    <w:p/>
    <w:p/>
    <w:p/>
    <w:p/>
    <w:sdt>
      <w:sdtPr>
        <w:id w:val="139843232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[XBRL-00078]    Recursos humanos</w:t>
          </w:r>
        </w:p>
      </w:sdtContent>
    </w:sdt>
    <w:p/>
    <w:p/>
    <w:p/>
    <w:p/>
    <w:p/>
    <w:sdt>
      <w:sdtPr>
        <w:id w:val="206501329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[XBRL-00079]    Desempeño ambiental</w:t>
          </w:r>
        </w:p>
      </w:sdtContent>
    </w:sdt>
    <w:p/>
    <w:p/>
    <w:p/>
    <w:p/>
    <w:p/>
    <w:sdt>
      <w:sdtPr>
        <w:id w:val="91661888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[XBRL-00080]    Información de mercado</w:t>
          </w:r>
        </w:p>
      </w:sdtContent>
    </w:sdt>
    <w:p/>
    <w:p/>
    <w:p/>
    <w:p/>
    <w:p/>
    <w:sdt>
      <w:sdtPr>
        <w:id w:val="138012218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[XBRL-00081]    Estructura corporativa</w:t>
          </w:r>
        </w:p>
      </w:sdtContent>
    </w:sdt>
    <w:p/>
    <w:p/>
    <w:p/>
    <w:p/>
    <w:p/>
    <w:sdt>
      <w:sdtPr>
        <w:id w:val="20670009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[XBRL-00082]    Descripción de los principales activos</w:t>
          </w:r>
        </w:p>
      </w:sdtContent>
    </w:sdt>
    <w:p/>
    <w:p/>
    <w:p/>
    <w:p/>
    <w:p/>
    <w:sdt>
      <w:sdtPr>
        <w:id w:val="49696856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[XBRL-00083]    Procesos judiciales, administrativos o arbitrales</w:t>
          </w:r>
        </w:p>
      </w:sdtContent>
    </w:sdt>
    <w:p/>
    <w:p/>
    <w:p/>
    <w:p/>
    <w:p/>
    <w:sdt>
      <w:sdtPr>
        <w:id w:val="10565007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[XBRL-00084]    Acciones representativas del capital social</w:t>
          </w:r>
        </w:p>
      </w:sdtContent>
    </w:sdt>
    <w:p/>
    <w:p/>
    <w:p/>
    <w:p/>
    <w:p/>
    <w:sdt>
      <w:sdtPr>
        <w:id w:val="129846610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[XBRL-00085]    Dividendos</w:t>
          </w:r>
        </w:p>
      </w:sdtContent>
    </w:sdt>
    <w:p/>
    <w:p/>
    <w:p/>
    <w:p/>
    <w:p/>
    <w:sdt>
      <w:sdtPr>
        <w:id w:val="63706799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[XBRL-00086]    Controles cambiarios y otras limitaciones que afecten a los tenedores de los títulos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1" w:name="_Toc256000054"/>
      <w:bookmarkStart w:id="52" w:name="_Toc256000068"/>
      <w:bookmarkStart w:id="53" w:name="_Toc256000084"/>
      <w:bookmarkStart w:id="54" w:name="_Toc256000102"/>
      <w:bookmarkStart w:id="55" w:name="_Toc256000122"/>
      <w:r>
        <w:rPr>
          <w:rFonts w:ascii="Cambria" w:eastAsia="Cambria" w:hAnsi="Cambria" w:cs="Cambria"/>
          <w:color w:val="365F91"/>
          <w:sz w:val="36"/>
        </w:rPr>
        <w:t>[Formato: [424000-H] Información financiera]</w:t>
      </w:r>
      <w:bookmarkEnd w:id="55"/>
      <w:bookmarkEnd w:id="54"/>
      <w:bookmarkEnd w:id="53"/>
      <w:bookmarkEnd w:id="52"/>
      <w:bookmarkEnd w:id="51"/>
    </w:p>
    <w:p>
      <w:pPr>
        <w:pStyle w:val="Heading1"/>
      </w:pPr>
    </w:p>
    <w:sdt>
      <w:sdtPr>
        <w:id w:val="24343505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[XBRL-00087]    Descripción o explicación de la Información financiera seleccionada</w:t>
          </w:r>
        </w:p>
      </w:sdtContent>
    </w:sdt>
    <w:p/>
    <w:p/>
    <w:p/>
    <w:p/>
    <w:p/>
    <w:sdt>
      <w:sdtPr>
        <w:id w:val="8220633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[XBRL-00088]    Información financiera trimestral seleccionada</w:t>
          </w:r>
        </w:p>
      </w:sdtContent>
    </w:sdt>
    <w:p/>
    <w:p/>
    <w:p/>
    <w:p/>
    <w:p/>
    <w:sdt>
      <w:sdtPr>
        <w:id w:val="21317154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[XBRL-00089]    Información en caso de emisiones avaladas por subsidiarias de la emisora</w:t>
          </w:r>
        </w:p>
      </w:sdtContent>
    </w:sdt>
    <w:p/>
    <w:p/>
    <w:p/>
    <w:p/>
    <w:p/>
    <w:sdt>
      <w:sdtPr>
        <w:id w:val="186359688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[XBRL-00090]    Información financiera por línea de negocio, zona geográfica y ventas de exportación</w:t>
          </w:r>
        </w:p>
      </w:sdtContent>
    </w:sdt>
    <w:p/>
    <w:p/>
    <w:p/>
    <w:p/>
    <w:p/>
    <w:sdt>
      <w:sdtPr>
        <w:id w:val="42744673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[XBRL-00091]    Informe de créditos relevantes</w:t>
          </w:r>
        </w:p>
      </w:sdtContent>
    </w:sdt>
    <w:p/>
    <w:p/>
    <w:p/>
    <w:p/>
    <w:p/>
    <w:sdt>
      <w:sdtPr>
        <w:id w:val="48387058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[XBRL-00092]    Comentarios y análisis de la administración sobre los resultados de operación y situación financiera de la emisora</w:t>
          </w:r>
        </w:p>
      </w:sdtContent>
    </w:sdt>
    <w:p/>
    <w:p/>
    <w:p/>
    <w:p/>
    <w:p/>
    <w:sdt>
      <w:sdtPr>
        <w:id w:val="9087888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[XBRL-00093]    Resultados de la operación</w:t>
          </w:r>
        </w:p>
      </w:sdtContent>
    </w:sdt>
    <w:p/>
    <w:p/>
    <w:p/>
    <w:p/>
    <w:p/>
    <w:sdt>
      <w:sdtPr>
        <w:id w:val="72427859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[XBRL-00094]    Situación financiera, liquidez y recursos de capital</w:t>
          </w:r>
        </w:p>
      </w:sdtContent>
    </w:sdt>
    <w:p/>
    <w:p/>
    <w:p/>
    <w:p/>
    <w:p/>
    <w:sdt>
      <w:sdtPr>
        <w:id w:val="99455784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[XBRL-00095]    Control Interno</w:t>
          </w:r>
        </w:p>
      </w:sdtContent>
    </w:sdt>
    <w:p/>
    <w:p/>
    <w:p/>
    <w:p/>
    <w:p/>
    <w:sdt>
      <w:sdtPr>
        <w:id w:val="174060646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[XBRL-00096]    Estimaciones, provisiones o reservas contables críticas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6" w:name="_Toc256000070"/>
      <w:bookmarkStart w:id="57" w:name="_Toc256000086"/>
      <w:bookmarkStart w:id="58" w:name="_Toc256000104"/>
      <w:bookmarkStart w:id="59" w:name="_Toc256000124"/>
      <w:r>
        <w:rPr>
          <w:rFonts w:ascii="Cambria" w:eastAsia="Cambria" w:hAnsi="Cambria" w:cs="Cambria"/>
          <w:color w:val="365F91"/>
          <w:sz w:val="36"/>
        </w:rPr>
        <w:t>[Formato: [427000-H] Administración]</w:t>
      </w:r>
      <w:bookmarkEnd w:id="59"/>
      <w:bookmarkEnd w:id="58"/>
      <w:bookmarkEnd w:id="57"/>
      <w:bookmarkEnd w:id="56"/>
    </w:p>
    <w:p>
      <w:pPr>
        <w:pStyle w:val="Heading1"/>
      </w:pPr>
    </w:p>
    <w:sdt>
      <w:sdtPr>
        <w:id w:val="107965943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[XBRL-00097]    Auditores externos</w:t>
          </w:r>
        </w:p>
      </w:sdtContent>
    </w:sdt>
    <w:p/>
    <w:p/>
    <w:p/>
    <w:p/>
    <w:p/>
    <w:sdt>
      <w:sdtPr>
        <w:id w:val="55542661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[XBRL-00098]    Operaciones con personas relacionadas y conflictos de interés</w:t>
          </w:r>
        </w:p>
      </w:sdtContent>
    </w:sdt>
    <w:p/>
    <w:p/>
    <w:p/>
    <w:p/>
    <w:p/>
    <w:sdt>
      <w:sdtPr>
        <w:id w:val="73446630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[XBRL-00099]    Administradores y accionistas</w:t>
          </w:r>
        </w:p>
      </w:sdtContent>
    </w:sdt>
    <w:p/>
    <w:p/>
    <w:p/>
    <w:p/>
    <w:p/>
    <w:sdt>
      <w:sdtPr>
        <w:id w:val="39447424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[XBRL-000100]    Estatutos sociales y otros convenios</w:t>
          </w:r>
        </w:p>
      </w:sdtContent>
    </w:sdt>
    <w:p/>
    <w:p/>
    <w:p/>
    <w:p/>
    <w:p/>
    <w:sdt>
      <w:sdtPr>
        <w:id w:val="154233698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[XBRL-000101]    Otras prácticas de gobierno corporativo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0" w:name="_Toc256000088"/>
      <w:bookmarkStart w:id="61" w:name="_Toc256000106"/>
      <w:bookmarkStart w:id="62" w:name="_Toc256000126"/>
      <w:r>
        <w:rPr>
          <w:rFonts w:ascii="Cambria" w:eastAsia="Cambria" w:hAnsi="Cambria" w:cs="Cambria"/>
          <w:color w:val="365F91"/>
          <w:sz w:val="36"/>
        </w:rPr>
        <w:t>[Formato: [430000-H] Activos subyacentes]</w:t>
      </w:r>
      <w:bookmarkEnd w:id="62"/>
      <w:bookmarkEnd w:id="61"/>
      <w:bookmarkEnd w:id="60"/>
    </w:p>
    <w:p>
      <w:pPr>
        <w:pStyle w:val="Heading1"/>
      </w:pPr>
    </w:p>
    <w:sdt>
      <w:sdtPr>
        <w:id w:val="24695163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[XBRL-000102]    Descripción de los activos subyacentes</w:t>
          </w:r>
        </w:p>
      </w:sdtContent>
    </w:sdt>
    <w:p/>
    <w:p/>
    <w:p/>
    <w:p/>
    <w:p/>
    <w:sdt>
      <w:sdtPr>
        <w:id w:val="6573907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[XBRL-000103]    Comportamiento histórico de los activos subyacentes</w:t>
          </w:r>
        </w:p>
      </w:sdtContent>
    </w:sdt>
    <w:p/>
    <w:p/>
    <w:p/>
    <w:p/>
    <w:p/>
    <w:sdt>
      <w:sdtPr>
        <w:id w:val="155557109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[XBRL-000104]    Ejercicios que cuantifiquen los posibles rendimientos o pérdidas que, bajo diferentes escenarios pudieran generarse</w:t>
          </w:r>
        </w:p>
      </w:sdtContent>
    </w:sdt>
    <w:p/>
    <w:p/>
    <w:p/>
    <w:p/>
    <w:p/>
    <w:sdt>
      <w:sdtPr>
        <w:id w:val="1040548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[XBRL-000105]    Otra información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3" w:name="_Toc256000108"/>
      <w:bookmarkStart w:id="64" w:name="_Toc256000128"/>
      <w:r>
        <w:rPr>
          <w:rFonts w:ascii="Cambria" w:eastAsia="Cambria" w:hAnsi="Cambria" w:cs="Cambria"/>
          <w:color w:val="365F91"/>
          <w:sz w:val="36"/>
        </w:rPr>
        <w:t>[Formato: [431000-H] Personas responsables]</w:t>
      </w:r>
      <w:bookmarkEnd w:id="64"/>
      <w:bookmarkEnd w:id="63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5" w:name="_Toc256000130"/>
      <w:r>
        <w:rPr>
          <w:rFonts w:ascii="Cambria" w:eastAsia="Cambria" w:hAnsi="Cambria" w:cs="Cambria"/>
          <w:color w:val="365F91"/>
          <w:sz w:val="36"/>
        </w:rPr>
        <w:t>[Formato: [432000-H] Anexos]</w:t>
      </w:r>
      <w:bookmarkEnd w:id="65"/>
    </w:p>
    <w:p>
      <w:pPr>
        <w:pStyle w:val="Heading1"/>
      </w:pPr>
    </w:p>
    <w:sdt>
      <w:sdtPr>
        <w:id w:val="86348141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[XBRL-000106]    Denominación social y nombre comercial o, en su caso, nombre de la persona física, así como una descripción del negocio en el que participe</w:t>
          </w:r>
        </w:p>
      </w:sdtContent>
    </w:sdt>
    <w:p/>
    <w:p/>
    <w:p/>
    <w:p/>
    <w:p/>
    <w:sdt>
      <w:sdtPr>
        <w:id w:val="62547627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[XBRL-000107]    Cualquier otra información que se considere relevante para evaluar el riesgo de crédito de que se
 trate del aval o garante</w:t>
          </w:r>
        </w:p>
      </w:sdtContent>
    </w:sdt>
    <w:p/>
    <w:p/>
    <w:p/>
    <w:p/>
    <w:p/>
    <w:sdt>
      <w:sdtPr>
        <w:id w:val="33835411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[XBRL-000108]    En caso de garantes especificar las diferencias relevantes con la IFRS</w:t>
          </w:r>
        </w:p>
      </w:sdtContent>
    </w:sdt>
    <w:p/>
    <w:p/>
    <w:p/>
    <w:p/>
    <w:p/>
    <w:p>
      <w:r>
        <w:br w:type="page"/>
      </w:r>
    </w:p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204080-CB7C-4FCC-B77A-C57139F8FB61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24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