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7351269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HBIS2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"_Toc256000132"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_Toc256000132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[411000-HBIS2]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_Toc256000134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[412000-HBIS2]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_Toc256000136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[413000-HBIS2]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_Toc256000138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"_Toc256000140"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[414000-HBIS2]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_Toc256000140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"_Toc256000142"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[416000-HBIS2] Estructura de la operación]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_Toc256000142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"_Toc256000144"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[420000-HBIS2]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_Toc256000144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"_Toc256000146"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[422000-HBIS2] Información financiera de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_Toc256000146 \h </w:instrText>
      </w:r>
      <w:r>
        <w:fldChar w:fldCharType="separate"/>
      </w:r>
      <w:r>
        <w:rPr>
          <w:rStyle w:val="Hyperlink"/>
        </w:rPr>
        <w:t>17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"_Toc256000148"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[425000-HBIS2]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_Toc256000148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"_Toc256000150"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[426000-HBIS2] Administrador del patrimonio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_Toc256000150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"_Toc256000152"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[431000-HBIS2]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_Toc256000152 \h </w:instrText>
      </w:r>
      <w:r>
        <w:fldChar w:fldCharType="separate"/>
      </w:r>
      <w:r>
        <w:rPr>
          <w:rStyle w:val="Hyperlink"/>
        </w:rPr>
        <w:t>22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"_Toc256000154"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[432000-HBIS2]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_Toc256000154 \h </w:instrText>
      </w:r>
      <w:r>
        <w:fldChar w:fldCharType="separate"/>
      </w:r>
      <w:r>
        <w:rPr>
          <w:rStyle w:val="Hyperlink"/>
        </w:rPr>
        <w:t>23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bookmarkStart w:id="11" w:name="_Toc256000132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1"/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5539082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2" w:name="_Toc256000004"/>
      <w:bookmarkStart w:id="13" w:name="_Toc256000008"/>
      <w:bookmarkStart w:id="14" w:name="_Toc256000014"/>
      <w:bookmarkStart w:id="15" w:name="_Toc256000022"/>
      <w:bookmarkStart w:id="16" w:name="_Toc256000032"/>
      <w:bookmarkStart w:id="17" w:name="_Toc256000044"/>
      <w:bookmarkStart w:id="18" w:name="_Toc256000058"/>
      <w:bookmarkStart w:id="19" w:name="_Toc256000074"/>
      <w:bookmarkStart w:id="20" w:name="_Toc256000092"/>
      <w:bookmarkStart w:id="21" w:name="_Toc256000112"/>
      <w:bookmarkStart w:id="22" w:name="_Toc256000134"/>
      <w:r>
        <w:rPr>
          <w:rFonts w:ascii="Cambria" w:eastAsia="Cambria" w:hAnsi="Cambria" w:cs="Cambria"/>
          <w:color w:val="365F91"/>
          <w:sz w:val="36"/>
        </w:rPr>
        <w:t>[Formato: [411000-HBIS2] Datos generales]</w:t>
      </w:r>
      <w:bookmarkEnd w:id="22"/>
      <w:bookmarkEnd w:id="21"/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</w:p>
    <w:p>
      <w:pPr>
        <w:pStyle w:val="Heading1"/>
      </w:pPr>
    </w:p>
    <w:sdt>
      <w:sdtPr>
        <w:id w:val="2592557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3" w:name="_Toc256000010"/>
      <w:bookmarkStart w:id="24" w:name="_Toc256000016"/>
      <w:bookmarkStart w:id="25" w:name="_Toc256000024"/>
      <w:bookmarkStart w:id="26" w:name="_Toc256000034"/>
      <w:bookmarkStart w:id="27" w:name="_Toc256000046"/>
      <w:bookmarkStart w:id="28" w:name="_Toc256000060"/>
      <w:bookmarkStart w:id="29" w:name="_Toc256000076"/>
      <w:bookmarkStart w:id="30" w:name="_Toc256000094"/>
      <w:bookmarkStart w:id="31" w:name="_Toc256000114"/>
      <w:bookmarkStart w:id="32" w:name="_Toc256000136"/>
      <w:r>
        <w:rPr>
          <w:rFonts w:ascii="Cambria" w:eastAsia="Cambria" w:hAnsi="Cambria" w:cs="Cambria"/>
          <w:color w:val="365F91"/>
          <w:sz w:val="36"/>
        </w:rPr>
        <w:t>[Formato: [412000-HBIS2] Portada prospecto]</w:t>
      </w:r>
      <w:bookmarkEnd w:id="32"/>
      <w:bookmarkEnd w:id="31"/>
      <w:bookmarkEnd w:id="30"/>
      <w:bookmarkEnd w:id="29"/>
      <w:bookmarkEnd w:id="28"/>
      <w:bookmarkEnd w:id="27"/>
      <w:bookmarkEnd w:id="26"/>
      <w:bookmarkEnd w:id="25"/>
      <w:bookmarkEnd w:id="24"/>
      <w:bookmarkEnd w:id="23"/>
    </w:p>
    <w:p>
      <w:pPr>
        <w:pStyle w:val="Heading1"/>
      </w:pPr>
    </w:p>
    <w:sdt>
      <w:sdtPr>
        <w:id w:val="16097182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Denominación de la institución fiduciaria</w:t>
          </w:r>
        </w:p>
      </w:sdtContent>
    </w:sdt>
    <w:p/>
    <w:p/>
    <w:p/>
    <w:p/>
    <w:p/>
    <w:sdt>
      <w:sdtPr>
        <w:id w:val="3715442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del fideicomitente.</w:t>
          </w:r>
        </w:p>
      </w:sdtContent>
    </w:sdt>
    <w:p/>
    <w:p/>
    <w:p/>
    <w:p/>
    <w:p/>
    <w:sdt>
      <w:sdtPr>
        <w:id w:val="13188936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Monto del Programa y/o número de certificados</w:t>
          </w:r>
        </w:p>
      </w:sdtContent>
    </w:sdt>
    <w:p/>
    <w:p/>
    <w:p/>
    <w:p/>
    <w:p/>
    <w:sdt>
      <w:sdtPr>
        <w:id w:val="2931438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Plazo y fecha de vencimiento</w:t>
          </w:r>
        </w:p>
      </w:sdtContent>
    </w:sdt>
    <w:p/>
    <w:p/>
    <w:p/>
    <w:p/>
    <w:p/>
    <w:sdt>
      <w:sdtPr>
        <w:id w:val="3167632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Datos relativos al contrato de fideicomiso</w:t>
          </w:r>
        </w:p>
      </w:sdtContent>
    </w:sdt>
    <w:p/>
    <w:p/>
    <w:p/>
    <w:p/>
    <w:p/>
    <w:sdt>
      <w:sdtPr>
        <w:id w:val="5784818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Fideicomitente</w:t>
          </w:r>
        </w:p>
      </w:sdtContent>
    </w:sdt>
    <w:p/>
    <w:p/>
    <w:p/>
    <w:p/>
    <w:p/>
    <w:sdt>
      <w:sdtPr>
        <w:id w:val="15505167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Administrador del patrimonio del fideicomiso</w:t>
          </w:r>
        </w:p>
      </w:sdtContent>
    </w:sdt>
    <w:p/>
    <w:p/>
    <w:p/>
    <w:p/>
    <w:p/>
    <w:sdt>
      <w:sdtPr>
        <w:id w:val="4056501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Bienes, derechos o valores fideicomitidos</w:t>
          </w:r>
        </w:p>
      </w:sdtContent>
    </w:sdt>
    <w:p/>
    <w:p/>
    <w:p/>
    <w:p/>
    <w:p/>
    <w:sdt>
      <w:sdtPr>
        <w:id w:val="5609378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1710054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Derechos que confieren los títulos fiduciarios y demás valores emitidos al amparo de un fideicomiso</w:t>
          </w:r>
        </w:p>
      </w:sdtContent>
    </w:sdt>
    <w:p/>
    <w:p/>
    <w:p/>
    <w:p/>
    <w:p/>
    <w:sdt>
      <w:sdtPr>
        <w:id w:val="2233578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20022859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Lugar  y forma de pago</w:t>
          </w:r>
        </w:p>
      </w:sdtContent>
    </w:sdt>
    <w:p/>
    <w:p/>
    <w:p/>
    <w:p/>
    <w:p/>
    <w:sdt>
      <w:sdtPr>
        <w:id w:val="132665361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Denominación del representante común de los tenedores de los títulos</w:t>
          </w:r>
        </w:p>
      </w:sdtContent>
    </w:sdt>
    <w:p/>
    <w:p/>
    <w:p/>
    <w:p/>
    <w:p/>
    <w:sdt>
      <w:sdtPr>
        <w:id w:val="9864379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En su caso, dictamen valuatorio</w:t>
          </w:r>
        </w:p>
      </w:sdtContent>
    </w:sdt>
    <w:p/>
    <w:p/>
    <w:p/>
    <w:p/>
    <w:p/>
    <w:sdt>
      <w:sdtPr>
        <w:id w:val="7404543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En su caso, la mención de cualquier riesgo asociado a la operación de que se trate, que por su relevancia deba incluirse en la portada del prospecto</w:t>
          </w:r>
        </w:p>
      </w:sdtContent>
    </w:sdt>
    <w:p/>
    <w:p/>
    <w:p/>
    <w:p/>
    <w:p/>
    <w:sdt>
      <w:sdtPr>
        <w:id w:val="27009095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Indicación de que no existe obligación de pago de principal ni de intereses</w:t>
          </w:r>
        </w:p>
      </w:sdtContent>
    </w:sdt>
    <w:p/>
    <w:p/>
    <w:p/>
    <w:p/>
    <w:p/>
    <w:sdt>
      <w:sdtPr>
        <w:id w:val="132982435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Recurso neto que obtendrá la emisora con la colocación</w:t>
          </w:r>
        </w:p>
      </w:sdtContent>
    </w:sdt>
    <w:p/>
    <w:p/>
    <w:p/>
    <w:p/>
    <w:p/>
    <w:sdt>
      <w:sdtPr>
        <w:id w:val="9420000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947549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 su caso, denominación de los intermediarios participantes del sindicato colocador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3" w:name="_Toc256000018"/>
      <w:bookmarkStart w:id="34" w:name="_Toc256000026"/>
      <w:bookmarkStart w:id="35" w:name="_Toc256000036"/>
      <w:bookmarkStart w:id="36" w:name="_Toc256000048"/>
      <w:bookmarkStart w:id="37" w:name="_Toc256000062"/>
      <w:bookmarkStart w:id="38" w:name="_Toc256000078"/>
      <w:bookmarkStart w:id="39" w:name="_Toc256000096"/>
      <w:bookmarkStart w:id="40" w:name="_Toc256000116"/>
      <w:bookmarkStart w:id="41" w:name="_Toc256000138"/>
      <w:r>
        <w:rPr>
          <w:rFonts w:ascii="Cambria" w:eastAsia="Cambria" w:hAnsi="Cambria" w:cs="Cambria"/>
          <w:color w:val="365F91"/>
          <w:sz w:val="36"/>
        </w:rPr>
        <w:t>[Formato: [413000-HBIS2] Información general]</w:t>
      </w:r>
      <w:bookmarkEnd w:id="41"/>
      <w:bookmarkEnd w:id="40"/>
      <w:bookmarkEnd w:id="39"/>
      <w:bookmarkEnd w:id="38"/>
      <w:bookmarkEnd w:id="37"/>
      <w:bookmarkEnd w:id="36"/>
      <w:bookmarkEnd w:id="35"/>
      <w:bookmarkEnd w:id="34"/>
      <w:bookmarkEnd w:id="33"/>
    </w:p>
    <w:p>
      <w:pPr>
        <w:pStyle w:val="Heading1"/>
      </w:pPr>
    </w:p>
    <w:sdt>
      <w:sdtPr>
        <w:id w:val="12897774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Glosario de términos y definiciones</w:t>
          </w:r>
        </w:p>
      </w:sdtContent>
    </w:sdt>
    <w:p/>
    <w:p/>
    <w:p/>
    <w:p/>
    <w:p/>
    <w:sdt>
      <w:sdtPr>
        <w:id w:val="19410223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Resumen ejecutivo</w:t>
          </w:r>
        </w:p>
      </w:sdtContent>
    </w:sdt>
    <w:p/>
    <w:p/>
    <w:p/>
    <w:p/>
    <w:p/>
    <w:sdt>
      <w:sdtPr>
        <w:id w:val="717697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Factores de riesgo</w:t>
          </w:r>
        </w:p>
      </w:sdtContent>
    </w:sdt>
    <w:p/>
    <w:p/>
    <w:p/>
    <w:p/>
    <w:p/>
    <w:sdt>
      <w:sdtPr>
        <w:id w:val="13924531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Otros Valores</w:t>
          </w:r>
        </w:p>
      </w:sdtContent>
    </w:sdt>
    <w:p/>
    <w:p/>
    <w:p/>
    <w:p/>
    <w:p/>
    <w:sdt>
      <w:sdtPr>
        <w:id w:val="6426051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2" w:name="_Toc256000028"/>
      <w:bookmarkStart w:id="43" w:name="_Toc256000038"/>
      <w:bookmarkStart w:id="44" w:name="_Toc256000050"/>
      <w:bookmarkStart w:id="45" w:name="_Toc256000064"/>
      <w:bookmarkStart w:id="46" w:name="_Toc256000080"/>
      <w:bookmarkStart w:id="47" w:name="_Toc256000098"/>
      <w:bookmarkStart w:id="48" w:name="_Toc256000118"/>
      <w:bookmarkStart w:id="49" w:name="_Toc256000140"/>
      <w:r>
        <w:rPr>
          <w:rFonts w:ascii="Cambria" w:eastAsia="Cambria" w:hAnsi="Cambria" w:cs="Cambria"/>
          <w:color w:val="365F91"/>
          <w:sz w:val="36"/>
        </w:rPr>
        <w:t>[Formato: [414000-HBIS2] La oferta]</w:t>
      </w:r>
      <w:bookmarkEnd w:id="49"/>
      <w:bookmarkEnd w:id="48"/>
      <w:bookmarkEnd w:id="47"/>
      <w:bookmarkEnd w:id="46"/>
      <w:bookmarkEnd w:id="45"/>
      <w:bookmarkEnd w:id="44"/>
      <w:bookmarkEnd w:id="43"/>
      <w:bookmarkEnd w:id="42"/>
    </w:p>
    <w:p>
      <w:pPr>
        <w:pStyle w:val="Heading1"/>
      </w:pPr>
    </w:p>
    <w:sdt>
      <w:sdtPr>
        <w:id w:val="15402676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Características de los valores</w:t>
          </w:r>
        </w:p>
      </w:sdtContent>
    </w:sdt>
    <w:p/>
    <w:p/>
    <w:p/>
    <w:p/>
    <w:p/>
    <w:sdt>
      <w:sdtPr>
        <w:id w:val="5585847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Otras consideraciones de la oferta</w:t>
          </w:r>
        </w:p>
      </w:sdtContent>
    </w:sdt>
    <w:p/>
    <w:p/>
    <w:p/>
    <w:p/>
    <w:p/>
    <w:sdt>
      <w:sdtPr>
        <w:id w:val="3564191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7898982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Transcripción de otros términos relevantes del título y, en su caso, del acta de emisión</w:t>
          </w:r>
        </w:p>
      </w:sdtContent>
    </w:sdt>
    <w:p/>
    <w:p/>
    <w:p/>
    <w:p/>
    <w:p/>
    <w:sdt>
      <w:sdtPr>
        <w:id w:val="12567439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9045990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Especificar si los bienes a fideicomitir se encuentran asegurados, así como los datos de la póliza.</w:t>
          </w:r>
        </w:p>
      </w:sdtContent>
    </w:sdt>
    <w:p/>
    <w:p/>
    <w:p/>
    <w:p/>
    <w:p/>
    <w:sdt>
      <w:sdtPr>
        <w:id w:val="7959773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Destino de los fondos</w:t>
          </w:r>
        </w:p>
      </w:sdtContent>
    </w:sdt>
    <w:p/>
    <w:p/>
    <w:p/>
    <w:p/>
    <w:p/>
    <w:sdt>
      <w:sdtPr>
        <w:id w:val="7402162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Plan de distribución</w:t>
          </w:r>
        </w:p>
      </w:sdtContent>
    </w:sdt>
    <w:p/>
    <w:p/>
    <w:p/>
    <w:p/>
    <w:p/>
    <w:sdt>
      <w:sdtPr>
        <w:id w:val="3386115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Funciones del representante común</w:t>
          </w:r>
        </w:p>
      </w:sdtContent>
    </w:sdt>
    <w:p/>
    <w:p/>
    <w:p/>
    <w:p/>
    <w:p/>
    <w:sdt>
      <w:sdtPr>
        <w:id w:val="7663344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0" w:name="_Toc256000040"/>
      <w:bookmarkStart w:id="51" w:name="_Toc256000052"/>
      <w:bookmarkStart w:id="52" w:name="_Toc256000066"/>
      <w:bookmarkStart w:id="53" w:name="_Toc256000082"/>
      <w:bookmarkStart w:id="54" w:name="_Toc256000100"/>
      <w:bookmarkStart w:id="55" w:name="_Toc256000120"/>
      <w:bookmarkStart w:id="56" w:name="_Toc256000142"/>
      <w:r>
        <w:rPr>
          <w:rFonts w:ascii="Cambria" w:eastAsia="Cambria" w:hAnsi="Cambria" w:cs="Cambria"/>
          <w:color w:val="365F91"/>
          <w:sz w:val="36"/>
        </w:rPr>
        <w:t>[Formato: [416000-HBIS2] Estructura de la operación]</w:t>
      </w:r>
      <w:bookmarkEnd w:id="56"/>
      <w:bookmarkEnd w:id="55"/>
      <w:bookmarkEnd w:id="54"/>
      <w:bookmarkEnd w:id="53"/>
      <w:bookmarkEnd w:id="52"/>
      <w:bookmarkEnd w:id="51"/>
      <w:bookmarkEnd w:id="50"/>
    </w:p>
    <w:p>
      <w:pPr>
        <w:pStyle w:val="Heading1"/>
      </w:pPr>
    </w:p>
    <w:sdt>
      <w:sdtPr>
        <w:id w:val="18536841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Descripción general</w:t>
          </w:r>
        </w:p>
      </w:sdtContent>
    </w:sdt>
    <w:p/>
    <w:p/>
    <w:p/>
    <w:p/>
    <w:p/>
    <w:sdt>
      <w:sdtPr>
        <w:id w:val="7068863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Patrimonio del fideicomiso</w:t>
          </w:r>
        </w:p>
      </w:sdtContent>
    </w:sdt>
    <w:p/>
    <w:p/>
    <w:p/>
    <w:p/>
    <w:p/>
    <w:sdt>
      <w:sdtPr>
        <w:id w:val="9425755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Descripción de los activos fideicomitidos</w:t>
          </w:r>
        </w:p>
      </w:sdtContent>
    </w:sdt>
    <w:p/>
    <w:p/>
    <w:p/>
    <w:p/>
    <w:p/>
    <w:sdt>
      <w:sdtPr>
        <w:id w:val="17087642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Evolución de los activos fideicomitidos, incluyendo sus ingresos</w:t>
          </w:r>
        </w:p>
      </w:sdtContent>
    </w:sdt>
    <w:p/>
    <w:p/>
    <w:p/>
    <w:p/>
    <w:p/>
    <w:sdt>
      <w:sdtPr>
        <w:id w:val="3946319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Contratos y acuerdos</w:t>
          </w:r>
        </w:p>
      </w:sdtContent>
    </w:sdt>
    <w:p/>
    <w:p/>
    <w:p/>
    <w:p/>
    <w:p/>
    <w:sdt>
      <w:sdtPr>
        <w:id w:val="18326705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Procesos judiciales, administrativos o arbitrales</w:t>
          </w:r>
        </w:p>
      </w:sdtContent>
    </w:sdt>
    <w:p/>
    <w:p/>
    <w:p/>
    <w:p/>
    <w:p/>
    <w:sdt>
      <w:sdtPr>
        <w:id w:val="157640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Plan de negocios, análisis y calendario de inversiones y, en su caso, desinversiones</w:t>
          </w:r>
        </w:p>
      </w:sdtContent>
    </w:sdt>
    <w:p/>
    <w:p/>
    <w:p/>
    <w:p/>
    <w:p/>
    <w:sdt>
      <w:sdtPr>
        <w:id w:val="12957490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Políticas generales de la emisión, así como respecto de la protección de los intereses de sus tenedores</w:t>
          </w:r>
        </w:p>
      </w:sdtContent>
    </w:sdt>
    <w:p/>
    <w:p/>
    <w:p/>
    <w:p/>
    <w:p/>
    <w:sdt>
      <w:sdtPr>
        <w:id w:val="14515018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Valuación</w:t>
          </w:r>
        </w:p>
      </w:sdtContent>
    </w:sdt>
    <w:p/>
    <w:p/>
    <w:p/>
    <w:p/>
    <w:p/>
    <w:sdt>
      <w:sdtPr>
        <w:id w:val="14199880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Fideicomitentes</w:t>
          </w:r>
        </w:p>
      </w:sdtContent>
    </w:sdt>
    <w:p/>
    <w:p/>
    <w:p/>
    <w:p/>
    <w:p/>
    <w:sdt>
      <w:sdtPr>
        <w:id w:val="2471790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Deudores relevantes del fideicomiso</w:t>
          </w:r>
        </w:p>
      </w:sdtContent>
    </w:sdt>
    <w:p/>
    <w:p/>
    <w:p/>
    <w:p/>
    <w:p/>
    <w:sdt>
      <w:sdtPr>
        <w:id w:val="5742760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Administradores del patrimonio del fideicomiso o a quien se le encomienden dichas funciones</w:t>
          </w:r>
        </w:p>
      </w:sdtContent>
    </w:sdt>
    <w:p/>
    <w:p/>
    <w:p/>
    <w:p/>
    <w:p/>
    <w:sdt>
      <w:sdtPr>
        <w:id w:val="9850152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Comisiones, costos y gastos del administrador del patrimonio del fideicomiso o a quien se le encomienden dichas funciones</w:t>
          </w:r>
        </w:p>
      </w:sdtContent>
    </w:sdt>
    <w:p/>
    <w:p/>
    <w:p/>
    <w:p/>
    <w:p/>
    <w:sdt>
      <w:sdtPr>
        <w:id w:val="194857786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Otros terceros obligados con el fideicomiso o los tenedores de los valores</w:t>
          </w:r>
        </w:p>
      </w:sdtContent>
    </w:sdt>
    <w:p/>
    <w:p/>
    <w:p/>
    <w:p/>
    <w:p/>
    <w:sdt>
      <w:sdtPr>
        <w:id w:val="9212879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Operaciones con personas relacionadas y conflictos de interés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7" w:name="_Toc256000054"/>
      <w:bookmarkStart w:id="58" w:name="_Toc256000068"/>
      <w:bookmarkStart w:id="59" w:name="_Toc256000084"/>
      <w:bookmarkStart w:id="60" w:name="_Toc256000102"/>
      <w:bookmarkStart w:id="61" w:name="_Toc256000122"/>
      <w:bookmarkStart w:id="62" w:name="_Toc256000144"/>
      <w:r>
        <w:rPr>
          <w:rFonts w:ascii="Cambria" w:eastAsia="Cambria" w:hAnsi="Cambria" w:cs="Cambria"/>
          <w:color w:val="365F91"/>
          <w:sz w:val="36"/>
        </w:rPr>
        <w:t>[Formato: [420000-HBIS2] La fideicomitente]</w:t>
      </w:r>
      <w:bookmarkEnd w:id="62"/>
      <w:bookmarkEnd w:id="61"/>
      <w:bookmarkEnd w:id="60"/>
      <w:bookmarkEnd w:id="59"/>
      <w:bookmarkEnd w:id="58"/>
      <w:bookmarkEnd w:id="57"/>
    </w:p>
    <w:p>
      <w:pPr>
        <w:pStyle w:val="Heading1"/>
      </w:pPr>
    </w:p>
    <w:sdt>
      <w:sdtPr>
        <w:id w:val="1747203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Historia y desarrollo de la fideicomitente</w:t>
          </w:r>
        </w:p>
      </w:sdtContent>
    </w:sdt>
    <w:p/>
    <w:p/>
    <w:p/>
    <w:p/>
    <w:p/>
    <w:sdt>
      <w:sdtPr>
        <w:id w:val="15089223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Descripción del negocio</w:t>
          </w:r>
        </w:p>
      </w:sdtContent>
    </w:sdt>
    <w:p/>
    <w:p/>
    <w:p/>
    <w:p/>
    <w:p/>
    <w:sdt>
      <w:sdtPr>
        <w:id w:val="6658551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Actividad Principal</w:t>
          </w:r>
        </w:p>
      </w:sdtContent>
    </w:sdt>
    <w:p/>
    <w:p/>
    <w:p/>
    <w:p/>
    <w:p/>
    <w:sdt>
      <w:sdtPr>
        <w:id w:val="742279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Canales de distribución</w:t>
          </w:r>
        </w:p>
      </w:sdtContent>
    </w:sdt>
    <w:p/>
    <w:p/>
    <w:p/>
    <w:p/>
    <w:p/>
    <w:sdt>
      <w:sdtPr>
        <w:id w:val="19074128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Patentes, licencias, marcas y otros contratos</w:t>
          </w:r>
        </w:p>
      </w:sdtContent>
    </w:sdt>
    <w:p/>
    <w:p/>
    <w:p/>
    <w:p/>
    <w:p/>
    <w:sdt>
      <w:sdtPr>
        <w:id w:val="15635273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Principales clientes</w:t>
          </w:r>
        </w:p>
      </w:sdtContent>
    </w:sdt>
    <w:p/>
    <w:p/>
    <w:p/>
    <w:p/>
    <w:p/>
    <w:sdt>
      <w:sdtPr>
        <w:id w:val="14723990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Legislación aplicable y situación tributaria</w:t>
          </w:r>
        </w:p>
      </w:sdtContent>
    </w:sdt>
    <w:p/>
    <w:p/>
    <w:p/>
    <w:p/>
    <w:p/>
    <w:sdt>
      <w:sdtPr>
        <w:id w:val="6389474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Recursos humanos</w:t>
          </w:r>
        </w:p>
      </w:sdtContent>
    </w:sdt>
    <w:p/>
    <w:p/>
    <w:p/>
    <w:p/>
    <w:p/>
    <w:sdt>
      <w:sdtPr>
        <w:id w:val="5164432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Desempeño ambiental</w:t>
          </w:r>
        </w:p>
      </w:sdtContent>
    </w:sdt>
    <w:p/>
    <w:p/>
    <w:p/>
    <w:p/>
    <w:p/>
    <w:sdt>
      <w:sdtPr>
        <w:id w:val="16782738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Información de mercado</w:t>
          </w:r>
        </w:p>
      </w:sdtContent>
    </w:sdt>
    <w:p/>
    <w:p/>
    <w:p/>
    <w:p/>
    <w:p/>
    <w:sdt>
      <w:sdtPr>
        <w:id w:val="1166200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Estructura corporativa</w:t>
          </w:r>
        </w:p>
      </w:sdtContent>
    </w:sdt>
    <w:p/>
    <w:p/>
    <w:p/>
    <w:p/>
    <w:p/>
    <w:sdt>
      <w:sdtPr>
        <w:id w:val="8526877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Descripción de los principales activos</w:t>
          </w:r>
        </w:p>
      </w:sdtContent>
    </w:sdt>
    <w:p/>
    <w:p/>
    <w:p/>
    <w:p/>
    <w:p/>
    <w:sdt>
      <w:sdtPr>
        <w:id w:val="18143287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Procesos judiciales, administrativos o arbitrales del fideicomitente</w:t>
          </w:r>
        </w:p>
      </w:sdtContent>
    </w:sdt>
    <w:p/>
    <w:p/>
    <w:p/>
    <w:p/>
    <w:p/>
    <w:sdt>
      <w:sdtPr>
        <w:id w:val="9288225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Acciones representativas del capital social</w:t>
          </w:r>
        </w:p>
      </w:sdtContent>
    </w:sdt>
    <w:p/>
    <w:p/>
    <w:p/>
    <w:p/>
    <w:p/>
    <w:sdt>
      <w:sdtPr>
        <w:id w:val="5026161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Dividendos</w:t>
          </w:r>
        </w:p>
      </w:sdtContent>
    </w:sdt>
    <w:p/>
    <w:p/>
    <w:p/>
    <w:p/>
    <w:p/>
    <w:sdt>
      <w:sdtPr>
        <w:id w:val="19967240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Administradores y accionistas</w:t>
          </w:r>
        </w:p>
      </w:sdtContent>
    </w:sdt>
    <w:p/>
    <w:p/>
    <w:p/>
    <w:p/>
    <w:p/>
    <w:sdt>
      <w:sdtPr>
        <w:id w:val="138395869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Estatutos sociales y otros convenios</w:t>
          </w:r>
        </w:p>
      </w:sdtContent>
    </w:sdt>
    <w:p/>
    <w:p/>
    <w:p/>
    <w:p/>
    <w:p/>
    <w:sdt>
      <w:sdtPr>
        <w:id w:val="12558681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Auditores externos de la fideicomitente</w:t>
          </w:r>
        </w:p>
      </w:sdtContent>
    </w:sdt>
    <w:p/>
    <w:p/>
    <w:p/>
    <w:p/>
    <w:p/>
    <w:sdt>
      <w:sdtPr>
        <w:id w:val="10192310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Operaciones con personas relacionadas y conflictos de interés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070"/>
      <w:bookmarkStart w:id="64" w:name="_Toc256000086"/>
      <w:bookmarkStart w:id="65" w:name="_Toc256000104"/>
      <w:bookmarkStart w:id="66" w:name="_Toc256000124"/>
      <w:bookmarkStart w:id="67" w:name="_Toc256000146"/>
      <w:r>
        <w:rPr>
          <w:rFonts w:ascii="Cambria" w:eastAsia="Cambria" w:hAnsi="Cambria" w:cs="Cambria"/>
          <w:color w:val="365F91"/>
          <w:sz w:val="36"/>
        </w:rPr>
        <w:t>[Formato: [422000-HBIS2] Información financiera de la fideicomitente]</w:t>
      </w:r>
      <w:bookmarkEnd w:id="67"/>
      <w:bookmarkEnd w:id="66"/>
      <w:bookmarkEnd w:id="65"/>
      <w:bookmarkEnd w:id="64"/>
      <w:bookmarkEnd w:id="63"/>
    </w:p>
    <w:p>
      <w:pPr>
        <w:pStyle w:val="Heading1"/>
      </w:pPr>
    </w:p>
    <w:sdt>
      <w:sdtPr>
        <w:id w:val="9210055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Información financiera seleccionada de la fideicomitente</w:t>
          </w:r>
        </w:p>
      </w:sdtContent>
    </w:sdt>
    <w:p/>
    <w:p/>
    <w:p/>
    <w:p/>
    <w:p/>
    <w:sdt>
      <w:sdtPr>
        <w:id w:val="156299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Comentarios y análisis de la administración sobre los resultados de operación y situación financiera del fideicomitente</w:t>
          </w:r>
        </w:p>
      </w:sdtContent>
    </w:sdt>
    <w:p/>
    <w:p/>
    <w:p/>
    <w:p/>
    <w:p/>
    <w:sdt>
      <w:sdtPr>
        <w:id w:val="139295646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Resultados de la operación de la fideicomitente</w:t>
          </w:r>
        </w:p>
      </w:sdtContent>
    </w:sdt>
    <w:p/>
    <w:p/>
    <w:p/>
    <w:p/>
    <w:p/>
    <w:sdt>
      <w:sdtPr>
        <w:id w:val="181127570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Situación financiera, liquidez y recursos de capital de la fideicomitente</w:t>
          </w:r>
        </w:p>
      </w:sdtContent>
    </w:sdt>
    <w:p/>
    <w:p/>
    <w:p/>
    <w:p/>
    <w:p/>
    <w:sdt>
      <w:sdtPr>
        <w:id w:val="21141731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Control interno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8" w:name="_Toc256000088"/>
      <w:bookmarkStart w:id="69" w:name="_Toc256000106"/>
      <w:bookmarkStart w:id="70" w:name="_Toc256000126"/>
      <w:bookmarkStart w:id="71" w:name="_Toc256000148"/>
      <w:r>
        <w:rPr>
          <w:rFonts w:ascii="Cambria" w:eastAsia="Cambria" w:hAnsi="Cambria" w:cs="Cambria"/>
          <w:color w:val="365F91"/>
          <w:sz w:val="36"/>
        </w:rPr>
        <w:t>[Formato: [425000-HBIS2] Información financiera del fideicomiso]</w:t>
      </w:r>
      <w:bookmarkEnd w:id="71"/>
      <w:bookmarkEnd w:id="70"/>
      <w:bookmarkEnd w:id="69"/>
      <w:bookmarkEnd w:id="68"/>
    </w:p>
    <w:p>
      <w:pPr>
        <w:pStyle w:val="Heading1"/>
      </w:pPr>
    </w:p>
    <w:sdt>
      <w:sdtPr>
        <w:id w:val="18315039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Información financiera seleccionada del fideicomiso</w:t>
          </w:r>
        </w:p>
      </w:sdtContent>
    </w:sdt>
    <w:p/>
    <w:p/>
    <w:p/>
    <w:p/>
    <w:p/>
    <w:sdt>
      <w:sdtPr>
        <w:id w:val="9815601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10216407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[XBRL-00077]    Informe de créditos relevantes del fideicomiso</w:t>
          </w:r>
        </w:p>
      </w:sdtContent>
    </w:sdt>
    <w:p/>
    <w:p/>
    <w:p/>
    <w:p/>
    <w:p/>
    <w:sdt>
      <w:sdtPr>
        <w:id w:val="17945911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[XBRL-00078]    Comentarios y análisis de la administración sobre los resultados de operación (fideicomiso)</w:t>
          </w:r>
        </w:p>
      </w:sdtContent>
    </w:sdt>
    <w:p/>
    <w:p/>
    <w:p/>
    <w:p/>
    <w:p/>
    <w:sdt>
      <w:sdtPr>
        <w:id w:val="78653486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[XBRL-00079]    Resultados de la operación del fideicomiso</w:t>
          </w:r>
        </w:p>
      </w:sdtContent>
    </w:sdt>
    <w:p/>
    <w:p/>
    <w:p/>
    <w:p/>
    <w:p/>
    <w:sdt>
      <w:sdtPr>
        <w:id w:val="10366417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[XBRL-00080]    Situación financiera, liquidez y recursos de capital del fideicomiso</w:t>
          </w:r>
        </w:p>
      </w:sdtContent>
    </w:sdt>
    <w:p/>
    <w:p/>
    <w:p/>
    <w:p/>
    <w:p/>
    <w:sdt>
      <w:sdtPr>
        <w:id w:val="2283054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[XBRL-00081]    Control Interno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72" w:name="_Toc256000108"/>
      <w:bookmarkStart w:id="73" w:name="_Toc256000128"/>
      <w:bookmarkStart w:id="74" w:name="_Toc256000150"/>
      <w:r>
        <w:rPr>
          <w:rFonts w:ascii="Cambria" w:eastAsia="Cambria" w:hAnsi="Cambria" w:cs="Cambria"/>
          <w:color w:val="365F91"/>
          <w:sz w:val="36"/>
        </w:rPr>
        <w:t>[Formato: [426000-HBIS2] Administrador del patrimonio del fideicomiso]</w:t>
      </w:r>
      <w:bookmarkEnd w:id="74"/>
      <w:bookmarkEnd w:id="73"/>
      <w:bookmarkEnd w:id="72"/>
    </w:p>
    <w:p>
      <w:pPr>
        <w:pStyle w:val="Heading1"/>
      </w:pPr>
    </w:p>
    <w:sdt>
      <w:sdtPr>
        <w:id w:val="20701694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[XBRL-00082]    Historia y desarrollo del administrador del patrimonio del fideicomiso o a quien se le encomienden dichas funciones</w:t>
          </w:r>
        </w:p>
      </w:sdtContent>
    </w:sdt>
    <w:p/>
    <w:p/>
    <w:p/>
    <w:p/>
    <w:p/>
    <w:sdt>
      <w:sdtPr>
        <w:id w:val="10391823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[XBRL-00083]    Descripción del negocio del administrador del patrimonio</w:t>
          </w:r>
        </w:p>
      </w:sdtContent>
    </w:sdt>
    <w:p/>
    <w:p/>
    <w:p/>
    <w:p/>
    <w:p/>
    <w:sdt>
      <w:sdtPr>
        <w:id w:val="138045001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[XBRL-00084]    Actividad principal del administrador</w:t>
          </w:r>
        </w:p>
      </w:sdtContent>
    </w:sdt>
    <w:p/>
    <w:p/>
    <w:p/>
    <w:p/>
    <w:p/>
    <w:sdt>
      <w:sdtPr>
        <w:id w:val="17685045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[XBRL-00085]    Recursos Humanos del administrador del patrimonio</w:t>
          </w:r>
        </w:p>
      </w:sdtContent>
    </w:sdt>
    <w:p/>
    <w:p/>
    <w:p/>
    <w:p/>
    <w:p/>
    <w:sdt>
      <w:sdtPr>
        <w:id w:val="20486819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[XBRL-00086]    Estructura Corporativa del administrador</w:t>
          </w:r>
        </w:p>
      </w:sdtContent>
    </w:sdt>
    <w:p/>
    <w:p/>
    <w:p/>
    <w:p/>
    <w:p/>
    <w:sdt>
      <w:sdtPr>
        <w:id w:val="698392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[XBRL-00087]    Procesos Judiciales, administrativos o arbitrales del administrador del patrimonio</w:t>
          </w:r>
        </w:p>
      </w:sdtContent>
    </w:sdt>
    <w:p/>
    <w:p/>
    <w:p/>
    <w:p/>
    <w:p/>
    <w:sdt>
      <w:sdtPr>
        <w:id w:val="7278210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[XBRL-00088]    Administradores y accionistas del administrador del patrimonio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75" w:name="_Toc256000130"/>
      <w:bookmarkStart w:id="76" w:name="_Toc256000152"/>
      <w:r>
        <w:rPr>
          <w:rFonts w:ascii="Cambria" w:eastAsia="Cambria" w:hAnsi="Cambria" w:cs="Cambria"/>
          <w:color w:val="365F91"/>
          <w:sz w:val="36"/>
        </w:rPr>
        <w:t>[Formato: [431000-HBIS2] Personas responsables]</w:t>
      </w:r>
      <w:bookmarkEnd w:id="76"/>
      <w:bookmarkEnd w:id="75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77" w:name="_Toc256000154"/>
      <w:r>
        <w:rPr>
          <w:rFonts w:ascii="Cambria" w:eastAsia="Cambria" w:hAnsi="Cambria" w:cs="Cambria"/>
          <w:color w:val="365F91"/>
          <w:sz w:val="36"/>
        </w:rPr>
        <w:t>[Formato: [432000-HBIS2] Anexos]</w:t>
      </w:r>
      <w:bookmarkEnd w:id="77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D7F873-B63B-4A3C-B390-803FBDF9B2A4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23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