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fontTable.xml" ContentType="application/vnd.openxmlformats-officedocument.wordprocessingml.fontTable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</Types>
</file>

<file path=_rels/.rels>&#65279;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Relationship Id="rId4" Type="http://schemas.openxmlformats.org/officeDocument/2006/relationships/custom-properties" Target="docProps/custom.xml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!-- Generated by Aspose.Words for .NET 15.3.0.0 -->
  <w:body>
    <w:p>
      <w:r w:rsidR="00A77B3E">
        <w:rPr>
          <w:rFonts w:ascii="Arial" w:eastAsia="Arial" w:hAnsi="Arial" w:cs="Arial"/>
          <w:vanish/>
          <w:color w:val="auto"/>
          <w:sz w:val="14"/>
        </w:rPr>
        <w:t>v1.1</w:t>
      </w:r>
    </w:p>
    <w:sdt>
      <w:sdtPr>
        <w:id w:val="213259575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Abax XBRL®</w:t>
          </w: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Importación de información de notas para el Documento de Instancia</w:t>
          </w:r>
        </w:p>
        <w:p>
          <w:pPr>
            <w:spacing w:line="240" w:lineRule="auto"/>
            <w:jc w:val="center"/>
          </w:pP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TAXONOMÍA BMV PROS HBIS3 2016</w:t>
          </w:r>
        </w:p>
        <w:p>
          <w:pPr>
            <w:spacing w:line="240" w:lineRule="auto"/>
            <w:jc w:val="center"/>
          </w:pPr>
          <w:r>
            <w:rPr>
              <w:rFonts w:ascii="Arial" w:eastAsia="Arial" w:hAnsi="Arial" w:cs="Arial"/>
              <w:b/>
              <w:vanish w:val="0"/>
              <w:color w:val="auto"/>
              <w:sz w:val="24"/>
            </w:rPr>
            <w:t>versión 1.1</w:t>
          </w:r>
        </w:p>
        <w:p>
          <w:pPr>
            <w:spacing w:line="240" w:lineRule="auto"/>
            <w:jc w:val="center"/>
          </w:pPr>
        </w:p>
      </w:sdtContent>
    </w:sdt>
    <w:p>
      <w:pPr>
        <w:rPr>
          <w:rFonts w:ascii="Cambria" w:eastAsia="Cambria" w:hAnsi="Cambria" w:cs="Cambria"/>
          <w:color w:val="365F91"/>
          <w:sz w:val="28"/>
        </w:rPr>
      </w:pPr>
      <w:r>
        <w:br w:type="page"/>
      </w:r>
      <w:r>
        <w:rPr>
          <w:rFonts w:ascii="Cambria" w:eastAsia="Cambria" w:hAnsi="Cambria" w:cs="Cambria"/>
          <w:color w:val="365F91"/>
          <w:sz w:val="28"/>
        </w:rPr>
        <w:t>Contenido</w:t>
      </w:r>
    </w:p>
    <w:p>
      <w:pPr>
        <w:rPr>
          <w:rFonts w:ascii="Cambria" w:eastAsia="Cambria" w:hAnsi="Cambria" w:cs="Cambria"/>
          <w:color w:val="365F91"/>
          <w:sz w:val="28"/>
        </w:rPr>
      </w:pP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rPr>
          <w:rFonts w:ascii="Cambria" w:eastAsia="Cambria" w:hAnsi="Cambria" w:cs="Cambria"/>
          <w:color w:val="365F91"/>
          <w:sz w:val="28"/>
        </w:rPr>
        <w:fldChar w:fldCharType="begin"/>
      </w:r>
      <w:r>
        <w:rPr>
          <w:rFonts w:ascii="Cambria" w:eastAsia="Cambria" w:hAnsi="Cambria" w:cs="Cambria"/>
          <w:color w:val="365F91"/>
          <w:sz w:val="28"/>
        </w:rPr>
        <w:instrText>TOC \o "1-3" \h \z \u</w:instrText>
      </w:r>
      <w:r>
        <w:rPr>
          <w:rFonts w:ascii="Cambria" w:eastAsia="Cambria" w:hAnsi="Cambria" w:cs="Cambria"/>
          <w:color w:val="365F91"/>
          <w:sz w:val="28"/>
        </w:rPr>
        <w:fldChar w:fldCharType="separate"/>
      </w:r>
      <w:r>
        <w:fldChar w:fldCharType="begin"/>
      </w:r>
      <w:r>
        <w:rPr>
          <w:rStyle w:val="Hyperlink"/>
        </w:rPr>
        <w:instrText xml:space="preserve"> HYPERLINK \l "_Toc256000110"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Instrucciones de llenado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_Toc256000110 \h </w:instrText>
      </w:r>
      <w:r>
        <w:fldChar w:fldCharType="separate"/>
      </w:r>
      <w:r>
        <w:rPr>
          <w:rStyle w:val="Hyperlink"/>
        </w:rPr>
        <w:t>3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"_Toc256000112"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[411000-HBIS3] Datos generales]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_Toc256000112 \h </w:instrText>
      </w:r>
      <w:r>
        <w:fldChar w:fldCharType="separate"/>
      </w:r>
      <w:r>
        <w:rPr>
          <w:rStyle w:val="Hyperlink"/>
        </w:rPr>
        <w:t>4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"_Toc256000114"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[412000-HBIS3] Portada prospecto]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_Toc256000114 \h </w:instrText>
      </w:r>
      <w:r>
        <w:fldChar w:fldCharType="separate"/>
      </w:r>
      <w:r>
        <w:rPr>
          <w:rStyle w:val="Hyperlink"/>
        </w:rPr>
        <w:t>5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"_Toc256000116"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[413000-HBIS3] Información general]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_Toc256000116 \h </w:instrText>
      </w:r>
      <w:r>
        <w:fldChar w:fldCharType="separate"/>
      </w:r>
      <w:r>
        <w:rPr>
          <w:rStyle w:val="Hyperlink"/>
        </w:rPr>
        <w:t>8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"_Toc256000118"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[414000-HBIS3] La oferta]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_Toc256000118 \h </w:instrText>
      </w:r>
      <w:r>
        <w:fldChar w:fldCharType="separate"/>
      </w:r>
      <w:r>
        <w:rPr>
          <w:rStyle w:val="Hyperlink"/>
        </w:rPr>
        <w:t>9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"_Toc256000120"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[421000-HBIS3] El fideicomiso]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_Toc256000120 \h </w:instrText>
      </w:r>
      <w:r>
        <w:fldChar w:fldCharType="separate"/>
      </w:r>
      <w:r>
        <w:rPr>
          <w:rStyle w:val="Hyperlink"/>
        </w:rPr>
        <w:t>11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"_Toc256000122"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[422000-HBIS3] Administrador del patrimonio del fideicomiso]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_Toc256000122 \h </w:instrText>
      </w:r>
      <w:r>
        <w:fldChar w:fldCharType="separate"/>
      </w:r>
      <w:r>
        <w:rPr>
          <w:rStyle w:val="Hyperlink"/>
        </w:rPr>
        <w:t>16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"_Toc256000124"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[425000-HBIS3] Información financiera del fideicomiso]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_Toc256000124 \h </w:instrText>
      </w:r>
      <w:r>
        <w:fldChar w:fldCharType="separate"/>
      </w:r>
      <w:r>
        <w:rPr>
          <w:rStyle w:val="Hyperlink"/>
        </w:rPr>
        <w:t>18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"_Toc256000126"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[428000-HBIS3] Información financiera de la administración interna]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_Toc256000126 \h </w:instrText>
      </w:r>
      <w:r>
        <w:fldChar w:fldCharType="separate"/>
      </w:r>
      <w:r>
        <w:rPr>
          <w:rStyle w:val="Hyperlink"/>
        </w:rPr>
        <w:t>20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"_Toc256000128"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[431000-HBIS3] Personas responsables]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_Toc256000128 \h </w:instrText>
      </w:r>
      <w:r>
        <w:fldChar w:fldCharType="separate"/>
      </w:r>
      <w:r>
        <w:rPr>
          <w:rStyle w:val="Hyperlink"/>
        </w:rPr>
        <w:t>21</w:t>
      </w:r>
      <w:r>
        <w:fldChar w:fldCharType="end"/>
      </w:r>
      <w:r>
        <w:fldChar w:fldCharType="end"/>
      </w:r>
    </w:p>
    <w:p>
      <w:pPr>
        <w:pStyle w:val="TOC1"/>
        <w:tabs>
          <w:tab w:val="right" w:leader="dot" w:pos="8630"/>
        </w:tabs>
        <w:rPr>
          <w:rFonts w:ascii="Calibri" w:hAnsi="Calibri"/>
          <w:noProof/>
          <w:sz w:val="22"/>
        </w:rPr>
      </w:pPr>
      <w:r>
        <w:fldChar w:fldCharType="begin"/>
      </w:r>
      <w:r>
        <w:rPr>
          <w:rStyle w:val="Hyperlink"/>
        </w:rPr>
        <w:instrText xml:space="preserve"> HYPERLINK \l "_Toc256000130" </w:instrText>
      </w:r>
      <w:r>
        <w:fldChar w:fldCharType="separate"/>
      </w:r>
      <w:r>
        <w:rPr>
          <w:rStyle w:val="Hyperlink"/>
          <w:rFonts w:ascii="Cambria" w:eastAsia="Cambria" w:hAnsi="Cambria" w:cs="Cambria"/>
        </w:rPr>
        <w:t>[Formato: [432000-HBIS3] Anexos]</w:t>
      </w:r>
      <w:r>
        <w:rPr>
          <w:rStyle w:val="Hyperlink"/>
        </w:rPr>
        <w:tab/>
      </w:r>
      <w:r>
        <w:fldChar w:fldCharType="begin"/>
      </w:r>
      <w:r>
        <w:rPr>
          <w:rStyle w:val="Hyperlink"/>
        </w:rPr>
        <w:instrText xml:space="preserve"> PAGEREF _Toc256000130 \h </w:instrText>
      </w:r>
      <w:r>
        <w:fldChar w:fldCharType="separate"/>
      </w:r>
      <w:r>
        <w:rPr>
          <w:rStyle w:val="Hyperlink"/>
        </w:rPr>
        <w:t>22</w:t>
      </w:r>
      <w:r>
        <w:fldChar w:fldCharType="end"/>
      </w:r>
      <w:r>
        <w:fldChar w:fldCharType="end"/>
      </w:r>
    </w:p>
    <w:p>
      <w:pPr>
        <w:pStyle w:val="Heading1"/>
        <w:rPr>
          <w:rFonts w:ascii="Cambria" w:eastAsia="Cambria" w:hAnsi="Cambria" w:cs="Cambria"/>
          <w:color w:val="365F91"/>
          <w:sz w:val="28"/>
        </w:rPr>
      </w:pPr>
      <w:r>
        <w:rPr>
          <w:rFonts w:ascii="Cambria" w:eastAsia="Cambria" w:hAnsi="Cambria" w:cs="Cambria"/>
          <w:color w:val="365F91"/>
          <w:sz w:val="28"/>
        </w:rPr>
        <w:fldChar w:fldCharType="end"/>
      </w:r>
      <w:r>
        <w:rPr>
          <w:rFonts w:ascii="Cambria" w:eastAsia="Cambria" w:hAnsi="Cambria" w:cs="Cambria"/>
          <w:color w:val="365F91"/>
          <w:sz w:val="28"/>
        </w:rPr>
        <w:br w:type="page"/>
      </w:r>
      <w:bookmarkStart w:id="0" w:name="_Toc256000000"/>
      <w:bookmarkStart w:id="1" w:name="_Toc256000002"/>
      <w:bookmarkStart w:id="2" w:name="_Toc256000006"/>
      <w:bookmarkStart w:id="3" w:name="_Toc256000012"/>
      <w:bookmarkStart w:id="4" w:name="_Toc256000020"/>
      <w:bookmarkStart w:id="5" w:name="_Toc256000030"/>
      <w:bookmarkStart w:id="6" w:name="_Toc256000042"/>
      <w:bookmarkStart w:id="7" w:name="_Toc256000056"/>
      <w:bookmarkStart w:id="8" w:name="_Toc256000072"/>
      <w:bookmarkStart w:id="9" w:name="_Toc256000090"/>
      <w:bookmarkStart w:id="10" w:name="_Toc256000110"/>
      <w:r>
        <w:rPr>
          <w:rFonts w:ascii="Cambria" w:eastAsia="Cambria" w:hAnsi="Cambria" w:cs="Cambria"/>
          <w:color w:val="365F91"/>
          <w:sz w:val="36"/>
        </w:rPr>
        <w:t>Instrucciones de llenado</w:t>
      </w:r>
      <w:bookmarkEnd w:id="10"/>
      <w:bookmarkEnd w:id="9"/>
      <w:bookmarkEnd w:id="8"/>
      <w:bookmarkEnd w:id="7"/>
      <w:bookmarkEnd w:id="6"/>
      <w:bookmarkEnd w:id="5"/>
      <w:bookmarkEnd w:id="4"/>
      <w:bookmarkEnd w:id="3"/>
      <w:bookmarkEnd w:id="2"/>
      <w:bookmarkEnd w:id="1"/>
      <w:bookmarkEnd w:id="0"/>
    </w:p>
    <w:p>
      <w:pPr>
        <w:pStyle w:val="Heading1"/>
      </w:pPr>
    </w:p>
    <w:sdt>
      <w:sdtPr>
        <w:id w:val="39729736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Para la correcta importación de las notas en un documento de instancia se debe de tener en cuenta lo siguiente: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Incluir el contenido inmediatamente debajo de la nota que se desee importar.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Se tiene que respetar la totalidad del documento sin eliminar conceptos.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Siempre se debe de guardar el documento en formato .docx (Office 2007 en adelante).</w:t>
          </w:r>
        </w:p>
        <w:p>
          <w:pPr>
            <w:numPr>
              <w:numId w:val="1"/>
            </w:numPr>
            <w:spacing w:line="276" w:lineRule="auto"/>
            <w:jc w:val="left"/>
          </w:pPr>
          <w:r>
            <w:rPr>
              <w:rFonts w:ascii="Calibri" w:eastAsia="Calibri" w:hAnsi="Calibri" w:cs="Calibri"/>
              <w:b w:val="0"/>
              <w:vanish w:val="0"/>
              <w:color w:val="auto"/>
              <w:sz w:val="18"/>
            </w:rPr>
            <w:t>Siempre debe de tener como base esta plantilla para importar información (dotx).</w:t>
          </w:r>
        </w:p>
      </w:sdtContent>
    </w:sdt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11" w:name="_Toc256000004"/>
      <w:bookmarkStart w:id="12" w:name="_Toc256000008"/>
      <w:bookmarkStart w:id="13" w:name="_Toc256000014"/>
      <w:bookmarkStart w:id="14" w:name="_Toc256000022"/>
      <w:bookmarkStart w:id="15" w:name="_Toc256000032"/>
      <w:bookmarkStart w:id="16" w:name="_Toc256000044"/>
      <w:bookmarkStart w:id="17" w:name="_Toc256000058"/>
      <w:bookmarkStart w:id="18" w:name="_Toc256000074"/>
      <w:bookmarkStart w:id="19" w:name="_Toc256000092"/>
      <w:bookmarkStart w:id="20" w:name="_Toc256000112"/>
      <w:r>
        <w:rPr>
          <w:rFonts w:ascii="Cambria" w:eastAsia="Cambria" w:hAnsi="Cambria" w:cs="Cambria"/>
          <w:color w:val="365F91"/>
          <w:sz w:val="36"/>
        </w:rPr>
        <w:t>[Formato: [411000-HBIS3] Datos generales]</w:t>
      </w:r>
      <w:bookmarkEnd w:id="20"/>
      <w:bookmarkEnd w:id="19"/>
      <w:bookmarkEnd w:id="18"/>
      <w:bookmarkEnd w:id="17"/>
      <w:bookmarkEnd w:id="16"/>
      <w:bookmarkEnd w:id="15"/>
      <w:bookmarkEnd w:id="14"/>
      <w:bookmarkEnd w:id="13"/>
      <w:bookmarkEnd w:id="12"/>
      <w:bookmarkEnd w:id="11"/>
    </w:p>
    <w:p>
      <w:pPr>
        <w:pStyle w:val="Heading1"/>
      </w:pPr>
    </w:p>
    <w:sdt>
      <w:sdtPr>
        <w:id w:val="62030260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[XBRL-0001]    Acontecimientos Recientes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21" w:name="_Toc256000010"/>
      <w:bookmarkStart w:id="22" w:name="_Toc256000016"/>
      <w:bookmarkStart w:id="23" w:name="_Toc256000024"/>
      <w:bookmarkStart w:id="24" w:name="_Toc256000034"/>
      <w:bookmarkStart w:id="25" w:name="_Toc256000046"/>
      <w:bookmarkStart w:id="26" w:name="_Toc256000060"/>
      <w:bookmarkStart w:id="27" w:name="_Toc256000076"/>
      <w:bookmarkStart w:id="28" w:name="_Toc256000094"/>
      <w:bookmarkStart w:id="29" w:name="_Toc256000114"/>
      <w:r>
        <w:rPr>
          <w:rFonts w:ascii="Cambria" w:eastAsia="Cambria" w:hAnsi="Cambria" w:cs="Cambria"/>
          <w:color w:val="365F91"/>
          <w:sz w:val="36"/>
        </w:rPr>
        <w:t>[Formato: [412000-HBIS3] Portada prospecto]</w:t>
      </w:r>
      <w:bookmarkEnd w:id="29"/>
      <w:bookmarkEnd w:id="28"/>
      <w:bookmarkEnd w:id="27"/>
      <w:bookmarkEnd w:id="26"/>
      <w:bookmarkEnd w:id="25"/>
      <w:bookmarkEnd w:id="24"/>
      <w:bookmarkEnd w:id="23"/>
      <w:bookmarkEnd w:id="22"/>
      <w:bookmarkEnd w:id="21"/>
    </w:p>
    <w:p>
      <w:pPr>
        <w:pStyle w:val="Heading1"/>
      </w:pPr>
    </w:p>
    <w:sdt>
      <w:sdtPr>
        <w:id w:val="68660097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[XBRL-0002]    Logotipo de la emisora</w:t>
          </w:r>
        </w:p>
      </w:sdtContent>
    </w:sdt>
    <w:p/>
    <w:p/>
    <w:p/>
    <w:p/>
    <w:p/>
    <w:sdt>
      <w:sdtPr>
        <w:id w:val="171153980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[XBRL-0003]    Denominación de la institución fiduciaria</w:t>
          </w:r>
        </w:p>
      </w:sdtContent>
    </w:sdt>
    <w:p/>
    <w:p/>
    <w:p/>
    <w:p/>
    <w:p/>
    <w:sdt>
      <w:sdtPr>
        <w:id w:val="149323683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[XBRL-0004]    Logotipo del fideicomitente</w:t>
          </w:r>
        </w:p>
      </w:sdtContent>
    </w:sdt>
    <w:p/>
    <w:p/>
    <w:p/>
    <w:p/>
    <w:p/>
    <w:sdt>
      <w:sdtPr>
        <w:id w:val="136635596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[XBRL-0005]    Denominación del fideicomitente.</w:t>
          </w:r>
        </w:p>
      </w:sdtContent>
    </w:sdt>
    <w:p/>
    <w:p/>
    <w:p/>
    <w:p/>
    <w:p/>
    <w:sdt>
      <w:sdtPr>
        <w:id w:val="213717623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[XBRL-0006]    Monto del Programa y/o número de certificados</w:t>
          </w:r>
        </w:p>
      </w:sdtContent>
    </w:sdt>
    <w:p/>
    <w:p/>
    <w:p/>
    <w:p/>
    <w:p/>
    <w:sdt>
      <w:sdtPr>
        <w:id w:val="207683486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[XBRL-0007]    Recurso neto que obtendrá la emisora con la colocación</w:t>
          </w:r>
        </w:p>
      </w:sdtContent>
    </w:sdt>
    <w:p/>
    <w:p/>
    <w:p/>
    <w:p/>
    <w:p/>
    <w:sdt>
      <w:sdtPr>
        <w:id w:val="54564574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[XBRL-0008]    Posibles adquirentes: “Personas físicas y morales cuando su régimen de inversión lo prevea expresamente”</w:t>
          </w:r>
        </w:p>
      </w:sdtContent>
    </w:sdt>
    <w:p/>
    <w:p/>
    <w:p/>
    <w:p/>
    <w:p/>
    <w:sdt>
      <w:sdtPr>
        <w:id w:val="5278291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[XBRL-0009]    Datos relativos al contrato de fideicomiso</w:t>
          </w:r>
        </w:p>
      </w:sdtContent>
    </w:sdt>
    <w:p/>
    <w:p/>
    <w:p/>
    <w:p/>
    <w:p/>
    <w:sdt>
      <w:sdtPr>
        <w:id w:val="202059438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[XBRL-00010]    Administrador del patrimonio del fideicomiso</w:t>
          </w:r>
        </w:p>
      </w:sdtContent>
    </w:sdt>
    <w:p/>
    <w:p/>
    <w:p/>
    <w:p/>
    <w:p/>
    <w:sdt>
      <w:sdtPr>
        <w:id w:val="74411743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[XBRL-00011]    Indicación de cualquier otro(s) tercero(s) relevantes que reciba(n) pago por parte del fideicomiso</w:t>
          </w:r>
        </w:p>
      </w:sdtContent>
    </w:sdt>
    <w:p/>
    <w:p/>
    <w:p/>
    <w:p/>
    <w:p/>
    <w:sdt>
      <w:sdtPr>
        <w:id w:val="82730382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[XBRL-00012]    Resumen de las características más relevantes de los activos, derechos, proyectos o bienes que integran el patrimonio del fideicomiso</w:t>
          </w:r>
        </w:p>
      </w:sdtContent>
    </w:sdt>
    <w:p/>
    <w:p/>
    <w:p/>
    <w:p/>
    <w:p/>
    <w:sdt>
      <w:sdtPr>
        <w:id w:val="12912075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[XBRL-00013]    Distribuciones, periodicidad y procedimiento de cálculo</w:t>
          </w:r>
        </w:p>
      </w:sdtContent>
    </w:sdt>
    <w:p/>
    <w:p/>
    <w:p/>
    <w:p/>
    <w:p/>
    <w:sdt>
      <w:sdtPr>
        <w:id w:val="195566879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[XBRL-00014]    Fuente de las distribuciones</w:t>
          </w:r>
        </w:p>
      </w:sdtContent>
    </w:sdt>
    <w:p/>
    <w:p/>
    <w:p/>
    <w:p/>
    <w:p/>
    <w:sdt>
      <w:sdtPr>
        <w:id w:val="44835969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[XBRL-00015]    Indicación de que no existe obligación de pago de principal ni de intereses</w:t>
          </w:r>
        </w:p>
      </w:sdtContent>
    </w:sdt>
    <w:p/>
    <w:p/>
    <w:p/>
    <w:p/>
    <w:p/>
    <w:sdt>
      <w:sdtPr>
        <w:id w:val="112812734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[XBRL-00016]    Indicación de que los certificados bursátiles fiduciarios inmobiliarios no son amortizables</w:t>
          </w:r>
        </w:p>
      </w:sdtContent>
    </w:sdt>
    <w:p/>
    <w:p/>
    <w:p/>
    <w:p/>
    <w:p/>
    <w:sdt>
      <w:sdtPr>
        <w:id w:val="18351498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[XBRL-00017]    Lugar y forma de pago de las distribuciones</w:t>
          </w:r>
        </w:p>
      </w:sdtContent>
    </w:sdt>
    <w:p/>
    <w:p/>
    <w:p/>
    <w:p/>
    <w:p/>
    <w:sdt>
      <w:sdtPr>
        <w:id w:val="168074759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[XBRL-00018]    Régimen fiscal aplicable.</w:t>
          </w:r>
        </w:p>
      </w:sdtContent>
    </w:sdt>
    <w:p/>
    <w:p/>
    <w:p/>
    <w:p/>
    <w:p/>
    <w:sdt>
      <w:sdtPr>
        <w:id w:val="101218767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[XBRL-00019]    En su caso, denominación de los intermediarios participantes del sindicato colocador</w:t>
          </w:r>
        </w:p>
      </w:sdtContent>
    </w:sdt>
    <w:p/>
    <w:p/>
    <w:p/>
    <w:p/>
    <w:p/>
    <w:sdt>
      <w:sdtPr>
        <w:id w:val="29732922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[XBRL-00020]    En su caso, la mención de cualquier riesgo asociado a la operación de que se trate, que por su relevancia deba incluirse en la portada del prospecto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30" w:name="_Toc256000018"/>
      <w:bookmarkStart w:id="31" w:name="_Toc256000026"/>
      <w:bookmarkStart w:id="32" w:name="_Toc256000036"/>
      <w:bookmarkStart w:id="33" w:name="_Toc256000048"/>
      <w:bookmarkStart w:id="34" w:name="_Toc256000062"/>
      <w:bookmarkStart w:id="35" w:name="_Toc256000078"/>
      <w:bookmarkStart w:id="36" w:name="_Toc256000096"/>
      <w:bookmarkStart w:id="37" w:name="_Toc256000116"/>
      <w:r>
        <w:rPr>
          <w:rFonts w:ascii="Cambria" w:eastAsia="Cambria" w:hAnsi="Cambria" w:cs="Cambria"/>
          <w:color w:val="365F91"/>
          <w:sz w:val="36"/>
        </w:rPr>
        <w:t>[Formato: [413000-HBIS3] Información general]</w:t>
      </w:r>
      <w:bookmarkEnd w:id="37"/>
      <w:bookmarkEnd w:id="36"/>
      <w:bookmarkEnd w:id="35"/>
      <w:bookmarkEnd w:id="34"/>
      <w:bookmarkEnd w:id="33"/>
      <w:bookmarkEnd w:id="32"/>
      <w:bookmarkEnd w:id="31"/>
      <w:bookmarkEnd w:id="30"/>
    </w:p>
    <w:p>
      <w:pPr>
        <w:pStyle w:val="Heading1"/>
      </w:pPr>
    </w:p>
    <w:sdt>
      <w:sdtPr>
        <w:id w:val="60958869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[XBRL-00021]    Glosario de términos y definiciones</w:t>
          </w:r>
        </w:p>
      </w:sdtContent>
    </w:sdt>
    <w:p/>
    <w:p/>
    <w:p/>
    <w:p/>
    <w:p/>
    <w:sdt>
      <w:sdtPr>
        <w:id w:val="83861303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[XBRL-00022]    Resumen ejecutivo</w:t>
          </w:r>
        </w:p>
      </w:sdtContent>
    </w:sdt>
    <w:p/>
    <w:p/>
    <w:p/>
    <w:p/>
    <w:p/>
    <w:sdt>
      <w:sdtPr>
        <w:id w:val="170141405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[XBRL-00023]    Factores de riesgo</w:t>
          </w:r>
        </w:p>
      </w:sdtContent>
    </w:sdt>
    <w:p/>
    <w:p/>
    <w:p/>
    <w:p/>
    <w:p/>
    <w:sdt>
      <w:sdtPr>
        <w:id w:val="199217709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[XBRL-00024]    Otros Valores</w:t>
          </w:r>
        </w:p>
      </w:sdtContent>
    </w:sdt>
    <w:p/>
    <w:p/>
    <w:p/>
    <w:p/>
    <w:p/>
    <w:sdt>
      <w:sdtPr>
        <w:id w:val="134809845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[XBRL-00025]    Cambios significativos a los derechos de valores inscritos en el registro</w:t>
          </w:r>
        </w:p>
      </w:sdtContent>
    </w:sdt>
    <w:p/>
    <w:p/>
    <w:p/>
    <w:p/>
    <w:p/>
    <w:sdt>
      <w:sdtPr>
        <w:id w:val="155607603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[XBRL-00026]    Documentos de carácter público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38" w:name="_Toc256000028"/>
      <w:bookmarkStart w:id="39" w:name="_Toc256000038"/>
      <w:bookmarkStart w:id="40" w:name="_Toc256000050"/>
      <w:bookmarkStart w:id="41" w:name="_Toc256000064"/>
      <w:bookmarkStart w:id="42" w:name="_Toc256000080"/>
      <w:bookmarkStart w:id="43" w:name="_Toc256000098"/>
      <w:bookmarkStart w:id="44" w:name="_Toc256000118"/>
      <w:r>
        <w:rPr>
          <w:rFonts w:ascii="Cambria" w:eastAsia="Cambria" w:hAnsi="Cambria" w:cs="Cambria"/>
          <w:color w:val="365F91"/>
          <w:sz w:val="36"/>
        </w:rPr>
        <w:t>[Formato: [414000-HBIS3] La oferta]</w:t>
      </w:r>
      <w:bookmarkEnd w:id="44"/>
      <w:bookmarkEnd w:id="43"/>
      <w:bookmarkEnd w:id="42"/>
      <w:bookmarkEnd w:id="41"/>
      <w:bookmarkEnd w:id="40"/>
      <w:bookmarkEnd w:id="39"/>
      <w:bookmarkEnd w:id="38"/>
    </w:p>
    <w:p>
      <w:pPr>
        <w:pStyle w:val="Heading1"/>
      </w:pPr>
    </w:p>
    <w:sdt>
      <w:sdtPr>
        <w:id w:val="174541747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[XBRL-00027]    Características de los valores</w:t>
          </w:r>
        </w:p>
      </w:sdtContent>
    </w:sdt>
    <w:p/>
    <w:p/>
    <w:p/>
    <w:p/>
    <w:p/>
    <w:sdt>
      <w:sdtPr>
        <w:id w:val="17236171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[XBRL-00028]    Otras consideraciones de la oferta</w:t>
          </w:r>
        </w:p>
      </w:sdtContent>
    </w:sdt>
    <w:p/>
    <w:p/>
    <w:p/>
    <w:p/>
    <w:p/>
    <w:sdt>
      <w:sdtPr>
        <w:id w:val="33094613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[XBRL-00029]    Posibles adquirentes: “Personas físicas y morales cuando su régimen de inversión lo prevea expresamente”</w:t>
          </w:r>
        </w:p>
      </w:sdtContent>
    </w:sdt>
    <w:p/>
    <w:p/>
    <w:p/>
    <w:p/>
    <w:p/>
    <w:sdt>
      <w:sdtPr>
        <w:id w:val="4054042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[XBRL-00030]    Transcripción de otros términos relevantes del título y, en su caso, del acta de emisión</w:t>
          </w:r>
        </w:p>
      </w:sdtContent>
    </w:sdt>
    <w:p/>
    <w:p/>
    <w:p/>
    <w:p/>
    <w:p/>
    <w:sdt>
      <w:sdtPr>
        <w:id w:val="68947343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[XBRL-00031]    Identificación de la fuente de los recursos necesarios para hacer frente a las obligaciones de pago de los títulos</w:t>
          </w:r>
        </w:p>
      </w:sdtContent>
    </w:sdt>
    <w:p/>
    <w:p/>
    <w:p/>
    <w:p/>
    <w:p/>
    <w:sdt>
      <w:sdtPr>
        <w:id w:val="57169564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[XBRL-00032]    Régimen fiscal aplicable.</w:t>
          </w:r>
        </w:p>
      </w:sdtContent>
    </w:sdt>
    <w:p/>
    <w:p/>
    <w:p/>
    <w:p/>
    <w:p/>
    <w:sdt>
      <w:sdtPr>
        <w:id w:val="209468087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[XBRL-00033]    Especificar si los bienes a fideicomitir se encuentran asegurados, así como los datos de la póliza.</w:t>
          </w:r>
        </w:p>
      </w:sdtContent>
    </w:sdt>
    <w:p/>
    <w:p/>
    <w:p/>
    <w:p/>
    <w:p/>
    <w:sdt>
      <w:sdtPr>
        <w:id w:val="94338736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[XBRL-00034]    Destino de los fondos</w:t>
          </w:r>
        </w:p>
      </w:sdtContent>
    </w:sdt>
    <w:p/>
    <w:p/>
    <w:p/>
    <w:p/>
    <w:p/>
    <w:sdt>
      <w:sdtPr>
        <w:id w:val="99915167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[XBRL-00035]    Plan de distribución</w:t>
          </w:r>
        </w:p>
      </w:sdtContent>
    </w:sdt>
    <w:p/>
    <w:p/>
    <w:p/>
    <w:p/>
    <w:p/>
    <w:sdt>
      <w:sdtPr>
        <w:id w:val="2604589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[XBRL-00036]    Funciones del representante común</w:t>
          </w:r>
        </w:p>
      </w:sdtContent>
    </w:sdt>
    <w:p/>
    <w:p/>
    <w:p/>
    <w:p/>
    <w:p/>
    <w:sdt>
      <w:sdtPr>
        <w:id w:val="90770687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[XBRL-00037]    Nombres de personas con participación relevante en la oferta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45" w:name="_Toc256000040"/>
      <w:bookmarkStart w:id="46" w:name="_Toc256000052"/>
      <w:bookmarkStart w:id="47" w:name="_Toc256000066"/>
      <w:bookmarkStart w:id="48" w:name="_Toc256000082"/>
      <w:bookmarkStart w:id="49" w:name="_Toc256000100"/>
      <w:bookmarkStart w:id="50" w:name="_Toc256000120"/>
      <w:r>
        <w:rPr>
          <w:rFonts w:ascii="Cambria" w:eastAsia="Cambria" w:hAnsi="Cambria" w:cs="Cambria"/>
          <w:color w:val="365F91"/>
          <w:sz w:val="36"/>
        </w:rPr>
        <w:t>[Formato: [421000-HBIS3] El fideicomiso]</w:t>
      </w:r>
      <w:bookmarkEnd w:id="50"/>
      <w:bookmarkEnd w:id="49"/>
      <w:bookmarkEnd w:id="48"/>
      <w:bookmarkEnd w:id="47"/>
      <w:bookmarkEnd w:id="46"/>
      <w:bookmarkEnd w:id="45"/>
    </w:p>
    <w:p>
      <w:pPr>
        <w:pStyle w:val="Heading1"/>
      </w:pPr>
    </w:p>
    <w:sdt>
      <w:sdtPr>
        <w:id w:val="206037118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[XBRL-00038]    Historia y desarrollo del fideicomiso</w:t>
          </w:r>
        </w:p>
      </w:sdtContent>
    </w:sdt>
    <w:p/>
    <w:p/>
    <w:p/>
    <w:p/>
    <w:p/>
    <w:sdt>
      <w:sdtPr>
        <w:id w:val="76480903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[XBRL-00039]    Descripción del negocio</w:t>
          </w:r>
        </w:p>
      </w:sdtContent>
    </w:sdt>
    <w:p/>
    <w:p/>
    <w:p/>
    <w:p/>
    <w:p/>
    <w:sdt>
      <w:sdtPr>
        <w:id w:val="205248990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[XBRL-00040]    Sectores inmobiliarios en los que el fideicomiso estará enfocado a invertir</w:t>
          </w:r>
        </w:p>
      </w:sdtContent>
    </w:sdt>
    <w:p/>
    <w:p/>
    <w:p/>
    <w:p/>
    <w:p/>
    <w:sdt>
      <w:sdtPr>
        <w:id w:val="106016178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[XBRL-00041]    Patentes, licencias, marcas y otros contratos</w:t>
          </w:r>
        </w:p>
      </w:sdtContent>
    </w:sdt>
    <w:p/>
    <w:p/>
    <w:p/>
    <w:p/>
    <w:p/>
    <w:sdt>
      <w:sdtPr>
        <w:id w:val="6529007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[XBRL-00042]    Principales clientes</w:t>
          </w:r>
        </w:p>
      </w:sdtContent>
    </w:sdt>
    <w:p/>
    <w:p/>
    <w:p/>
    <w:p/>
    <w:p/>
    <w:sdt>
      <w:sdtPr>
        <w:id w:val="115882793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[XBRL-00043]    Legislación aplicable y régimen fiscal</w:t>
          </w:r>
        </w:p>
      </w:sdtContent>
    </w:sdt>
    <w:p/>
    <w:p/>
    <w:p/>
    <w:p/>
    <w:p/>
    <w:sdt>
      <w:sdtPr>
        <w:id w:val="67780688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[XBRL-00044]    Recursos humanos</w:t>
          </w:r>
        </w:p>
      </w:sdtContent>
    </w:sdt>
    <w:p/>
    <w:p/>
    <w:p/>
    <w:p/>
    <w:p/>
    <w:sdt>
      <w:sdtPr>
        <w:id w:val="184228195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[XBRL-00045]    Desempeño ambiental</w:t>
          </w:r>
        </w:p>
      </w:sdtContent>
    </w:sdt>
    <w:p/>
    <w:p/>
    <w:p/>
    <w:p/>
    <w:p/>
    <w:sdt>
      <w:sdtPr>
        <w:id w:val="131642318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[XBRL-00046]    Información de mercado</w:t>
          </w:r>
        </w:p>
      </w:sdtContent>
    </w:sdt>
    <w:p/>
    <w:p/>
    <w:p/>
    <w:p/>
    <w:p/>
    <w:sdt>
      <w:sdtPr>
        <w:id w:val="207024557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[XBRL-00047]    Estructura de administración</w:t>
          </w:r>
        </w:p>
      </w:sdtContent>
    </w:sdt>
    <w:p/>
    <w:p/>
    <w:p/>
    <w:p/>
    <w:p/>
    <w:sdt>
      <w:sdtPr>
        <w:id w:val="85794962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[XBRL-00048]    Procesos judiciales, administrativos o arbitrales</w:t>
          </w:r>
        </w:p>
      </w:sdtContent>
    </w:sdt>
    <w:p/>
    <w:p/>
    <w:p/>
    <w:p/>
    <w:p/>
    <w:sdt>
      <w:sdtPr>
        <w:id w:val="134101969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[XBRL-00049]    Derechos que confieren los certificados bursátiles fiduciarios inmobiliarios</w:t>
          </w:r>
        </w:p>
      </w:sdtContent>
    </w:sdt>
    <w:p/>
    <w:p/>
    <w:p/>
    <w:p/>
    <w:p/>
    <w:sdt>
      <w:sdtPr>
        <w:id w:val="17846646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[XBRL-00050]    Distribuciones</w:t>
          </w:r>
        </w:p>
      </w:sdtContent>
    </w:sdt>
    <w:p/>
    <w:p/>
    <w:p/>
    <w:p/>
    <w:p/>
    <w:sdt>
      <w:sdtPr>
        <w:id w:val="79228528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[XBRL-00051]    Descripción de los activos que conforman el patrimonio del fideicomiso</w:t>
          </w:r>
        </w:p>
      </w:sdtContent>
    </w:sdt>
    <w:p/>
    <w:p/>
    <w:p/>
    <w:p/>
    <w:p/>
    <w:sdt>
      <w:sdtPr>
        <w:id w:val="88544428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[XBRL-00052]    Inmuebles propiedad del fideicomiso</w:t>
          </w:r>
        </w:p>
      </w:sdtContent>
    </w:sdt>
    <w:p/>
    <w:p/>
    <w:p/>
    <w:p/>
    <w:p/>
    <w:sdt>
      <w:sdtPr>
        <w:id w:val="69317872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[XBRL-00053]    Adquisiciones inmobiliarias o desarrollos inmobiliarios</w:t>
          </w:r>
        </w:p>
      </w:sdtContent>
    </w:sdt>
    <w:p/>
    <w:p/>
    <w:p/>
    <w:p/>
    <w:p/>
    <w:sdt>
      <w:sdtPr>
        <w:id w:val="94629643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[XBRL-00054]    Evolución de los activos del fideicomiso</w:t>
          </w:r>
        </w:p>
      </w:sdtContent>
    </w:sdt>
    <w:p/>
    <w:p/>
    <w:p/>
    <w:p/>
    <w:p/>
    <w:sdt>
      <w:sdtPr>
        <w:id w:val="105835619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[XBRL-00055]    Desempeño de los activos del fideicomiso</w:t>
          </w:r>
        </w:p>
      </w:sdtContent>
    </w:sdt>
    <w:p/>
    <w:p/>
    <w:p/>
    <w:p/>
    <w:p/>
    <w:sdt>
      <w:sdtPr>
        <w:id w:val="16371430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[XBRL-00056]    Plan de negocios, análisis y calendario de inversiones y, en su caso, desinversiones</w:t>
          </w:r>
        </w:p>
      </w:sdtContent>
    </w:sdt>
    <w:p/>
    <w:p/>
    <w:p/>
    <w:p/>
    <w:p/>
    <w:sdt>
      <w:sdtPr>
        <w:id w:val="10510122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[XBRL-00057]    Informe de deudores relevantes</w:t>
          </w:r>
        </w:p>
      </w:sdtContent>
    </w:sdt>
    <w:p/>
    <w:p/>
    <w:p/>
    <w:p/>
    <w:p/>
    <w:sdt>
      <w:sdtPr>
        <w:id w:val="15230506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[XBRL-00058]    Contratos y acuerdos relevantes</w:t>
          </w:r>
        </w:p>
      </w:sdtContent>
    </w:sdt>
    <w:p/>
    <w:p/>
    <w:p/>
    <w:p/>
    <w:p/>
    <w:sdt>
      <w:sdtPr>
        <w:id w:val="39445298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[XBRL-00059]    Administrador</w:t>
          </w:r>
        </w:p>
      </w:sdtContent>
    </w:sdt>
    <w:p/>
    <w:p/>
    <w:p/>
    <w:p/>
    <w:p/>
    <w:sdt>
      <w:sdtPr>
        <w:id w:val="85235366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[XBRL-00060]    Comisiones, costos y gastos del administrador, asesor o de cualquier otro(s) tercero(s) que reciba(n) pago por parte del fideicomiso</w:t>
          </w:r>
        </w:p>
      </w:sdtContent>
    </w:sdt>
    <w:p/>
    <w:p/>
    <w:p/>
    <w:p/>
    <w:p/>
    <w:sdt>
      <w:sdtPr>
        <w:id w:val="130228444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[XBRL-00061]    Operaciones con personas relacionadas y conflictos de interés</w:t>
          </w:r>
        </w:p>
      </w:sdtContent>
    </w:sdt>
    <w:p/>
    <w:p/>
    <w:p/>
    <w:p/>
    <w:p/>
    <w:sdt>
      <w:sdtPr>
        <w:id w:val="207455060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[XBRL-00062]    Auditores externos</w:t>
          </w:r>
        </w:p>
      </w:sdtContent>
    </w:sdt>
    <w:p/>
    <w:p/>
    <w:p/>
    <w:p/>
    <w:p/>
    <w:sdt>
      <w:sdtPr>
        <w:id w:val="124206545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[XBRL-00063]    Otros terceros obligados con el fideicomiso o los tenedores</w:t>
          </w:r>
        </w:p>
      </w:sdtContent>
    </w:sdt>
    <w:p/>
    <w:p/>
    <w:p/>
    <w:p/>
    <w:p/>
    <w:sdt>
      <w:sdtPr>
        <w:id w:val="762641909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[XBRL-00064]    Estructura del fideicomiso y principales tenedores</w:t>
          </w:r>
        </w:p>
      </w:sdtContent>
    </w:sdt>
    <w:p/>
    <w:p/>
    <w:p/>
    <w:p/>
    <w:p/>
    <w:sdt>
      <w:sdtPr>
        <w:id w:val="98950575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[XBRL-00065]    Comportamiento de los certificados bursátiles fiduciarios inmobiliarios en el mercado de valores</w:t>
          </w:r>
        </w:p>
      </w:sdtContent>
    </w:sdt>
    <w:p/>
    <w:p/>
    <w:p/>
    <w:p/>
    <w:p/>
    <w:sdt>
      <w:sdtPr>
        <w:id w:val="170683562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[XBRL-00066]    Denominación del formador de mercado</w:t>
          </w:r>
        </w:p>
      </w:sdtContent>
    </w:sdt>
    <w:p/>
    <w:p/>
    <w:p/>
    <w:p/>
    <w:p/>
    <w:sdt>
      <w:sdtPr>
        <w:id w:val="80902034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[XBRL-00067]    Identificación de los valores con los que operará el formador de mercado.</w:t>
          </w:r>
        </w:p>
      </w:sdtContent>
    </w:sdt>
    <w:p/>
    <w:p/>
    <w:p/>
    <w:p/>
    <w:p/>
    <w:sdt>
      <w:sdtPr>
        <w:id w:val="1134737330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[XBRL-00068]    Duración del contrato con el formador de mercado</w:t>
          </w:r>
        </w:p>
      </w:sdtContent>
    </w:sdt>
    <w:p/>
    <w:p/>
    <w:p/>
    <w:p/>
    <w:p/>
    <w:sdt>
      <w:sdtPr>
        <w:id w:val="65280594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[XBRL-00069]    Descripción de los servicios que prestará el formador de mercado, así como los términos y condiciones generales de contratación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51" w:name="_Toc256000054"/>
      <w:bookmarkStart w:id="52" w:name="_Toc256000068"/>
      <w:bookmarkStart w:id="53" w:name="_Toc256000084"/>
      <w:bookmarkStart w:id="54" w:name="_Toc256000102"/>
      <w:bookmarkStart w:id="55" w:name="_Toc256000122"/>
      <w:r>
        <w:rPr>
          <w:rFonts w:ascii="Cambria" w:eastAsia="Cambria" w:hAnsi="Cambria" w:cs="Cambria"/>
          <w:color w:val="365F91"/>
          <w:sz w:val="36"/>
        </w:rPr>
        <w:t>[Formato: [422000-HBIS3] Administrador del patrimonio del fideicomiso]</w:t>
      </w:r>
      <w:bookmarkEnd w:id="55"/>
      <w:bookmarkEnd w:id="54"/>
      <w:bookmarkEnd w:id="53"/>
      <w:bookmarkEnd w:id="52"/>
      <w:bookmarkEnd w:id="51"/>
    </w:p>
    <w:p>
      <w:pPr>
        <w:pStyle w:val="Heading1"/>
      </w:pPr>
    </w:p>
    <w:sdt>
      <w:sdtPr>
        <w:id w:val="1335680297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[XBRL-00070]    Historia y desarrollo del administrador del patrimonio del fideicomiso o a quien se le encomienden dichas funciones</w:t>
          </w:r>
        </w:p>
      </w:sdtContent>
    </w:sdt>
    <w:p/>
    <w:p/>
    <w:p/>
    <w:p/>
    <w:p/>
    <w:sdt>
      <w:sdtPr>
        <w:id w:val="28836464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[XBRL-00071]    Descripción del negocio del administrador del patrimonio</w:t>
          </w:r>
        </w:p>
      </w:sdtContent>
    </w:sdt>
    <w:p/>
    <w:p/>
    <w:p/>
    <w:p/>
    <w:p/>
    <w:sdt>
      <w:sdtPr>
        <w:id w:val="187035836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[XBRL-00072]    Actividad principal del administrador</w:t>
          </w:r>
        </w:p>
      </w:sdtContent>
    </w:sdt>
    <w:p/>
    <w:p/>
    <w:p/>
    <w:p/>
    <w:p/>
    <w:sdt>
      <w:sdtPr>
        <w:id w:val="70979927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[XBRL-00073]    Recursos Humanos del administrador del patrimonio</w:t>
          </w:r>
        </w:p>
      </w:sdtContent>
    </w:sdt>
    <w:p/>
    <w:p/>
    <w:p/>
    <w:p/>
    <w:p/>
    <w:sdt>
      <w:sdtPr>
        <w:id w:val="179188870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[XBRL-00074]    Estructura Corporativa del administrador</w:t>
          </w:r>
        </w:p>
      </w:sdtContent>
    </w:sdt>
    <w:p/>
    <w:p/>
    <w:p/>
    <w:p/>
    <w:p/>
    <w:sdt>
      <w:sdtPr>
        <w:id w:val="106324743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[XBRL-00075]    Procesos Judiciales, administrativos o arbitrales del administrador del patrimonio</w:t>
          </w:r>
        </w:p>
      </w:sdtContent>
    </w:sdt>
    <w:p/>
    <w:p/>
    <w:p/>
    <w:p/>
    <w:p/>
    <w:sdt>
      <w:sdtPr>
        <w:id w:val="5371798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[XBRL-00076]    Administradores y accionistas del administrador del patrimonio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56" w:name="_Toc256000070"/>
      <w:bookmarkStart w:id="57" w:name="_Toc256000086"/>
      <w:bookmarkStart w:id="58" w:name="_Toc256000104"/>
      <w:bookmarkStart w:id="59" w:name="_Toc256000124"/>
      <w:r>
        <w:rPr>
          <w:rFonts w:ascii="Cambria" w:eastAsia="Cambria" w:hAnsi="Cambria" w:cs="Cambria"/>
          <w:color w:val="365F91"/>
          <w:sz w:val="36"/>
        </w:rPr>
        <w:t>[Formato: [425000-HBIS3] Información financiera del fideicomiso]</w:t>
      </w:r>
      <w:bookmarkEnd w:id="59"/>
      <w:bookmarkEnd w:id="58"/>
      <w:bookmarkEnd w:id="57"/>
      <w:bookmarkEnd w:id="56"/>
    </w:p>
    <w:p>
      <w:pPr>
        <w:pStyle w:val="Heading1"/>
      </w:pPr>
    </w:p>
    <w:sdt>
      <w:sdtPr>
        <w:id w:val="507078586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[XBRL-00077]    Información financiera seleccionada del fideicomiso</w:t>
          </w:r>
        </w:p>
      </w:sdtContent>
    </w:sdt>
    <w:p/>
    <w:p/>
    <w:p/>
    <w:p/>
    <w:p/>
    <w:sdt>
      <w:sdtPr>
        <w:id w:val="25523219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[XBRL-00078]    Informe de créditos relevantes del fideicomiso</w:t>
          </w:r>
        </w:p>
      </w:sdtContent>
    </w:sdt>
    <w:p/>
    <w:p/>
    <w:p/>
    <w:p/>
    <w:p/>
    <w:sdt>
      <w:sdtPr>
        <w:id w:val="179772605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[XBRL-00079]    Comentarios y análisis de la administración sobre los resultados de operación (fideicomiso)</w:t>
          </w:r>
        </w:p>
      </w:sdtContent>
    </w:sdt>
    <w:p/>
    <w:p/>
    <w:p/>
    <w:p/>
    <w:p/>
    <w:sdt>
      <w:sdtPr>
        <w:id w:val="3921022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[XBRL-00080]    Resultados de la operación del fideicomiso</w:t>
          </w:r>
        </w:p>
      </w:sdtContent>
    </w:sdt>
    <w:p/>
    <w:p/>
    <w:p/>
    <w:p/>
    <w:p/>
    <w:sdt>
      <w:sdtPr>
        <w:id w:val="18650600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[XBRL-00081]    Situación financiera, liquidez y recursos de capital del fideicomiso</w:t>
          </w:r>
        </w:p>
      </w:sdtContent>
    </w:sdt>
    <w:p/>
    <w:p/>
    <w:p/>
    <w:p/>
    <w:p/>
    <w:sdt>
      <w:sdtPr>
        <w:id w:val="1524917953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[XBRL-00082]    Control Interno del fideicomiso</w:t>
          </w:r>
        </w:p>
      </w:sdtContent>
    </w:sdt>
    <w:p/>
    <w:p/>
    <w:p/>
    <w:p/>
    <w:p/>
    <w:sdt>
      <w:sdtPr>
        <w:id w:val="546856118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[XBRL-00083]    Estimaciones, provisiones o reservas contables críticas del fideicomiso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60" w:name="_Toc256000088"/>
      <w:bookmarkStart w:id="61" w:name="_Toc256000106"/>
      <w:bookmarkStart w:id="62" w:name="_Toc256000126"/>
      <w:r>
        <w:rPr>
          <w:rFonts w:ascii="Cambria" w:eastAsia="Cambria" w:hAnsi="Cambria" w:cs="Cambria"/>
          <w:color w:val="365F91"/>
          <w:sz w:val="36"/>
        </w:rPr>
        <w:t>[Formato: [428000-HBIS3] Información financiera de la administración interna]</w:t>
      </w:r>
      <w:bookmarkEnd w:id="62"/>
      <w:bookmarkEnd w:id="61"/>
      <w:bookmarkEnd w:id="60"/>
    </w:p>
    <w:p>
      <w:pPr>
        <w:pStyle w:val="Heading1"/>
      </w:pPr>
    </w:p>
    <w:sdt>
      <w:sdtPr>
        <w:id w:val="27638098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[XBRL-00084]    Información financiera seleccionada de la administración interna</w:t>
          </w:r>
        </w:p>
      </w:sdtContent>
    </w:sdt>
    <w:p/>
    <w:p/>
    <w:p/>
    <w:p/>
    <w:p/>
    <w:sdt>
      <w:sdtPr>
        <w:id w:val="1831232972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[XBRL-00085]    Comentarios y análisis de la administración sobre los resultados de operación de la Administracion Interna</w:t>
          </w:r>
        </w:p>
      </w:sdtContent>
    </w:sdt>
    <w:p/>
    <w:p/>
    <w:p/>
    <w:p/>
    <w:p/>
    <w:sdt>
      <w:sdtPr>
        <w:id w:val="131553669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[XBRL-00086]    Resultados de la operación de la administración interna</w:t>
          </w:r>
        </w:p>
      </w:sdtContent>
    </w:sdt>
    <w:p/>
    <w:p/>
    <w:p/>
    <w:p/>
    <w:p/>
    <w:sdt>
      <w:sdtPr>
        <w:id w:val="72579621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[XBRL-00087]    Situación financiera, liquidez y recursos de capital de la administración interna</w:t>
          </w:r>
        </w:p>
      </w:sdtContent>
    </w:sdt>
    <w:p/>
    <w:p/>
    <w:p/>
    <w:p/>
    <w:p/>
    <w:sdt>
      <w:sdtPr>
        <w:id w:val="229511174"/>
        <w:lock w:val="sdtContentLocked"/>
        <w:placeholder>
          <w:docPart w:val="DefaultPlaceholder_22675703"/>
        </w:placeholder>
        <w:showingPlcHdr/>
        <w:text/>
      </w:sdtPr>
      <w:sdtContent>
        <w:p>
          <w:pPr>
            <w:spacing w:line="240" w:lineRule="auto"/>
            <w:jc w:val="left"/>
          </w:pPr>
          <w:r>
            <w:rPr>
              <w:rFonts w:ascii="Consolas" w:eastAsia="Consolas" w:hAnsi="Consolas" w:cs="Consolas"/>
              <w:b w:val="0"/>
              <w:vanish w:val="0"/>
              <w:color w:val="1E1E1E"/>
              <w:sz w:val="18"/>
            </w:rPr>
            <w:t>[XBRL-00088]    Control interno de la administración interna</w:t>
          </w:r>
        </w:p>
      </w:sdtContent>
    </w:sdt>
    <w:p/>
    <w:p/>
    <w:p/>
    <w:p/>
    <w:p/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63" w:name="_Toc256000108"/>
      <w:bookmarkStart w:id="64" w:name="_Toc256000128"/>
      <w:r>
        <w:rPr>
          <w:rFonts w:ascii="Cambria" w:eastAsia="Cambria" w:hAnsi="Cambria" w:cs="Cambria"/>
          <w:color w:val="365F91"/>
          <w:sz w:val="36"/>
        </w:rPr>
        <w:t>[Formato: [431000-HBIS3] Personas responsables]</w:t>
      </w:r>
      <w:bookmarkEnd w:id="64"/>
      <w:bookmarkEnd w:id="63"/>
    </w:p>
    <w:p>
      <w:pPr>
        <w:pStyle w:val="Heading1"/>
      </w:pPr>
    </w:p>
    <w:p>
      <w:pPr>
        <w:pStyle w:val="Heading1"/>
        <w:rPr>
          <w:rFonts w:ascii="Cambria" w:eastAsia="Cambria" w:hAnsi="Cambria" w:cs="Cambria"/>
          <w:color w:val="365F91"/>
          <w:sz w:val="36"/>
        </w:rPr>
      </w:pPr>
      <w:r>
        <w:br w:type="page"/>
      </w:r>
      <w:bookmarkStart w:id="65" w:name="_Toc256000130"/>
      <w:r>
        <w:rPr>
          <w:rFonts w:ascii="Cambria" w:eastAsia="Cambria" w:hAnsi="Cambria" w:cs="Cambria"/>
          <w:color w:val="365F91"/>
          <w:sz w:val="36"/>
        </w:rPr>
        <w:t>[Formato: [432000-HBIS3] Anexos]</w:t>
      </w:r>
      <w:bookmarkEnd w:id="65"/>
    </w:p>
    <w:p>
      <w:pPr>
        <w:pStyle w:val="Heading1"/>
      </w:pPr>
    </w:p>
    <w:p>
      <w:r>
        <w:br w:type="page"/>
      </w:r>
    </w:p>
    <w:sectPr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20007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20007A87" w:usb1="80000000" w:usb2="00000008" w:usb3="00000000" w:csb0="000001F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1"/>
    <w:multiLevelType w:val="multilevel"/>
    <w:tmpl w:val="0000000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grammar="clean"/>
  <w:stylePaneFormatFilter w:val="3F01"/>
  <w:defaultTabStop w:val="720"/>
  <w:noPunctuationKerning/>
  <w:characterSpacingControl w:val="doNotCompress"/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rsid w:val="00EF7B96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character" w:customStyle="1" w:styleId="PlaceholderText">
    <w:name w:val="Placeholder Text"/>
    <w:basedOn w:val="DefaultParagraphFont"/>
    <w:uiPriority w:val="99"/>
    <w:semiHidden/>
    <w:rPr>
      <w:color w:val="808080"/>
    </w:rPr>
  </w:style>
  <w:style w:type="paragraph" w:styleId="TOC1">
    <w:name w:val="toc 1"/>
    <w:basedOn w:val="Normal"/>
    <w:next w:val="Normal"/>
    <w:autoRedefine/>
    <w:rsid w:val="00805BCE"/>
  </w:style>
  <w:style w:type="character" w:styleId="Hyperlink">
    <w:name w:val="Hyperlink"/>
    <w:basedOn w:val="DefaultParagraphFont"/>
    <w:rsid w:val="00EF7B96"/>
    <w:rPr>
      <w:color w:val="0000FF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glossaryDocument" Target="glossary/document.xml" /><Relationship Id="rId5" Type="http://schemas.openxmlformats.org/officeDocument/2006/relationships/numbering" Target="numbering.xml" /><Relationship Id="rId6" Type="http://schemas.openxmlformats.org/officeDocument/2006/relationships/styles" Target="styles.xml" /></Relationships>
</file>

<file path=word/glossary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styles" Target="styles.xml" 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efaultPlaceholder_226757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A93271-FE48-499C-9683-63F318F344C0}"/>
      </w:docPartPr>
      <w:docPartBody>
        <w:p>
          <w:r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/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percent="100"/>
  <w:defaultTabStop w:val="720"/>
  <w:noPunctuationKerning/>
  <w:characterSpacingControl w:val="doNotCompress"/>
  <w:compat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77B5"/>
  </w:style>
  <w:style w:type="character" w:default="1" w:styleId="DefaultParagraphFont">
    <w:name w:val="Default Paragraph Font"/>
    <w:uiPriority w:val="1"/>
    <w:semiHidden/>
    <w:unhideWhenUsed/>
  </w:style>
  <w:style w:type="character" w:customStyle="1" w:styleId="PlaceholderText">
    <w:name w:val="Placeholder Text"/>
    <w:basedOn w:val="DefaultParagraphFont"/>
    <w:uiPriority w:val="99"/>
    <w:semiHidden/>
    <w:rPr>
      <w:color w:val="808080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/>
</file>

<file path=docProps/app.xml><?xml version="1.0" encoding="utf-8"?>
<Properties xmlns="http://schemas.openxmlformats.org/officeDocument/2006/extended-properties" xmlns:vt="http://schemas.openxmlformats.org/officeDocument/2006/docPropsVTypes">
  <Template>Normal.dot</Template>
  <TotalTime>0</TotalTime>
  <Pages>22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2HSoftware v1.1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de notas - IFRS ICS v1.1</dc:title>
  <dc:creator>2HSoftware</dc:creator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 Plantilla">
    <vt:lpwstr>v1.1</vt:lpwstr>
  </property>
</Properties>
</file>