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19693283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PROS I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"_Toc256000110"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[411000-I] Datos generales]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[412000-I] Portada prospecto]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[413000-I]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_Toc256000116 \h </w:instrText>
      </w:r>
      <w:r>
        <w:fldChar w:fldCharType="separate"/>
      </w:r>
      <w:r>
        <w:rPr>
          <w:rStyle w:val="Hyperlink"/>
        </w:rPr>
        <w:t>7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[414000-I] La oferta]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_Toc256000118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[417000-I] La emisora]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_Toc256000120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[418000-I] La emisora de los valores de referencia]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_Toc256000122 \h </w:instrText>
      </w:r>
      <w:r>
        <w:fldChar w:fldCharType="separate"/>
      </w:r>
      <w:r>
        <w:rPr>
          <w:rStyle w:val="Hyperlink"/>
        </w:rPr>
        <w:t>13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[424000-I] Información financiera]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_Toc256000124 \h 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[427000-I] Administración]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_Toc256000126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[431000-I]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_Toc256000128 \h </w:instrText>
      </w:r>
      <w:r>
        <w:fldChar w:fldCharType="separate"/>
      </w:r>
      <w:r>
        <w:rPr>
          <w:rStyle w:val="Hyperlink"/>
        </w:rPr>
        <w:t>17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"_Toc256000130"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[432000-I]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_Toc256000130 \h 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bookmarkStart w:id="10" w:name="_Toc25600011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10"/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14265636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1" w:name="_Toc256000004"/>
      <w:bookmarkStart w:id="12" w:name="_Toc256000008"/>
      <w:bookmarkStart w:id="13" w:name="_Toc256000014"/>
      <w:bookmarkStart w:id="14" w:name="_Toc256000022"/>
      <w:bookmarkStart w:id="15" w:name="_Toc256000032"/>
      <w:bookmarkStart w:id="16" w:name="_Toc256000044"/>
      <w:bookmarkStart w:id="17" w:name="_Toc256000058"/>
      <w:bookmarkStart w:id="18" w:name="_Toc256000074"/>
      <w:bookmarkStart w:id="19" w:name="_Toc256000092"/>
      <w:bookmarkStart w:id="20" w:name="_Toc256000112"/>
      <w:r>
        <w:rPr>
          <w:rFonts w:ascii="Cambria" w:eastAsia="Cambria" w:hAnsi="Cambria" w:cs="Cambria"/>
          <w:color w:val="365F91"/>
          <w:sz w:val="36"/>
        </w:rPr>
        <w:t>[Formato: [411000-I] Datos generales]</w:t>
      </w:r>
      <w:bookmarkEnd w:id="20"/>
      <w:bookmarkEnd w:id="19"/>
      <w:bookmarkEnd w:id="18"/>
      <w:bookmarkEnd w:id="17"/>
      <w:bookmarkEnd w:id="16"/>
      <w:bookmarkEnd w:id="15"/>
      <w:bookmarkEnd w:id="14"/>
      <w:bookmarkEnd w:id="13"/>
      <w:bookmarkEnd w:id="12"/>
      <w:bookmarkEnd w:id="11"/>
    </w:p>
    <w:p>
      <w:pPr>
        <w:pStyle w:val="Heading1"/>
      </w:pPr>
    </w:p>
    <w:sdt>
      <w:sdtPr>
        <w:id w:val="12090866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Acontecimientos Recientes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1" w:name="_Toc256000010"/>
      <w:bookmarkStart w:id="22" w:name="_Toc256000016"/>
      <w:bookmarkStart w:id="23" w:name="_Toc256000024"/>
      <w:bookmarkStart w:id="24" w:name="_Toc256000034"/>
      <w:bookmarkStart w:id="25" w:name="_Toc256000046"/>
      <w:bookmarkStart w:id="26" w:name="_Toc256000060"/>
      <w:bookmarkStart w:id="27" w:name="_Toc256000076"/>
      <w:bookmarkStart w:id="28" w:name="_Toc256000094"/>
      <w:bookmarkStart w:id="29" w:name="_Toc256000114"/>
      <w:r>
        <w:rPr>
          <w:rFonts w:ascii="Cambria" w:eastAsia="Cambria" w:hAnsi="Cambria" w:cs="Cambria"/>
          <w:color w:val="365F91"/>
          <w:sz w:val="36"/>
        </w:rPr>
        <w:t>[Formato: [412000-I] Portada prospecto]</w:t>
      </w:r>
      <w:bookmarkEnd w:id="29"/>
      <w:bookmarkEnd w:id="28"/>
      <w:bookmarkEnd w:id="27"/>
      <w:bookmarkEnd w:id="26"/>
      <w:bookmarkEnd w:id="25"/>
      <w:bookmarkEnd w:id="24"/>
      <w:bookmarkEnd w:id="23"/>
      <w:bookmarkEnd w:id="22"/>
      <w:bookmarkEnd w:id="21"/>
    </w:p>
    <w:p>
      <w:pPr>
        <w:pStyle w:val="Heading1"/>
      </w:pPr>
    </w:p>
    <w:sdt>
      <w:sdtPr>
        <w:id w:val="2089682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Denominación de la Emisora</w:t>
          </w:r>
        </w:p>
      </w:sdtContent>
    </w:sdt>
    <w:p/>
    <w:p/>
    <w:p/>
    <w:p/>
    <w:p/>
    <w:sdt>
      <w:sdtPr>
        <w:id w:val="14977556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Número y características  de títulos materia de la oferta mencionando el número de series en que se divide la emisión</w:t>
          </w:r>
        </w:p>
      </w:sdtContent>
    </w:sdt>
    <w:p/>
    <w:p/>
    <w:p/>
    <w:p/>
    <w:p/>
    <w:sdt>
      <w:sdtPr>
        <w:id w:val="164369473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Recurso neto que obtendrá la emisora con la colocación</w:t>
          </w:r>
        </w:p>
      </w:sdtContent>
    </w:sdt>
    <w:p/>
    <w:p/>
    <w:p/>
    <w:p/>
    <w:p/>
    <w:sdt>
      <w:sdtPr>
        <w:id w:val="122377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Lugar de emisión</w:t>
          </w:r>
        </w:p>
      </w:sdtContent>
    </w:sdt>
    <w:p/>
    <w:p/>
    <w:p/>
    <w:p/>
    <w:p/>
    <w:sdt>
      <w:sdtPr>
        <w:id w:val="19232243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Enumeración genérica de posibles adquirientes y posibles limitantes</w:t>
          </w:r>
        </w:p>
      </w:sdtContent>
    </w:sdt>
    <w:p/>
    <w:p/>
    <w:p/>
    <w:p/>
    <w:p/>
    <w:sdt>
      <w:sdtPr>
        <w:id w:val="14249602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Descripción de los derechos que se otorgan a los tenedores de los títulos opcionales</w:t>
          </w:r>
        </w:p>
      </w:sdtContent>
    </w:sdt>
    <w:p/>
    <w:p/>
    <w:p/>
    <w:p/>
    <w:p/>
    <w:sdt>
      <w:sdtPr>
        <w:id w:val="17174910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Los efectos de los valores de referencia sobre los títulos opcionales</w:t>
          </w:r>
        </w:p>
      </w:sdtContent>
    </w:sdt>
    <w:p/>
    <w:p/>
    <w:p/>
    <w:p/>
    <w:p/>
    <w:sdt>
      <w:sdtPr>
        <w:id w:val="19197418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Eventos extraordinarios</w:t>
          </w:r>
        </w:p>
      </w:sdtContent>
    </w:sdt>
    <w:p/>
    <w:p/>
    <w:p/>
    <w:p/>
    <w:p/>
    <w:sdt>
      <w:sdtPr>
        <w:id w:val="15196336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Posibles adquirentes: “Personas físicas y morales cuando su régimen de inversión lo prevea expresamente”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0" w:name="_Toc256000018"/>
      <w:bookmarkStart w:id="31" w:name="_Toc256000026"/>
      <w:bookmarkStart w:id="32" w:name="_Toc256000036"/>
      <w:bookmarkStart w:id="33" w:name="_Toc256000048"/>
      <w:bookmarkStart w:id="34" w:name="_Toc256000062"/>
      <w:bookmarkStart w:id="35" w:name="_Toc256000078"/>
      <w:bookmarkStart w:id="36" w:name="_Toc256000096"/>
      <w:bookmarkStart w:id="37" w:name="_Toc256000116"/>
      <w:r>
        <w:rPr>
          <w:rFonts w:ascii="Cambria" w:eastAsia="Cambria" w:hAnsi="Cambria" w:cs="Cambria"/>
          <w:color w:val="365F91"/>
          <w:sz w:val="36"/>
        </w:rPr>
        <w:t>[Formato: [413000-I] Información general]</w:t>
      </w:r>
      <w:bookmarkEnd w:id="37"/>
      <w:bookmarkEnd w:id="36"/>
      <w:bookmarkEnd w:id="35"/>
      <w:bookmarkEnd w:id="34"/>
      <w:bookmarkEnd w:id="33"/>
      <w:bookmarkEnd w:id="32"/>
      <w:bookmarkEnd w:id="31"/>
      <w:bookmarkEnd w:id="30"/>
    </w:p>
    <w:p>
      <w:pPr>
        <w:pStyle w:val="Heading1"/>
      </w:pPr>
    </w:p>
    <w:sdt>
      <w:sdtPr>
        <w:id w:val="7322476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Glosario de términos y definiciones</w:t>
          </w:r>
        </w:p>
      </w:sdtContent>
    </w:sdt>
    <w:p/>
    <w:p/>
    <w:p/>
    <w:p/>
    <w:p/>
    <w:sdt>
      <w:sdtPr>
        <w:id w:val="7868475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Resumen ejecutivo</w:t>
          </w:r>
        </w:p>
      </w:sdtContent>
    </w:sdt>
    <w:p/>
    <w:p/>
    <w:p/>
    <w:p/>
    <w:p/>
    <w:sdt>
      <w:sdtPr>
        <w:id w:val="18010119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Factores de riesgo</w:t>
          </w:r>
        </w:p>
      </w:sdtContent>
    </w:sdt>
    <w:p/>
    <w:p/>
    <w:p/>
    <w:p/>
    <w:p/>
    <w:sdt>
      <w:sdtPr>
        <w:id w:val="6697114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Otros Valores</w:t>
          </w:r>
        </w:p>
      </w:sdtContent>
    </w:sdt>
    <w:p/>
    <w:p/>
    <w:p/>
    <w:p/>
    <w:p/>
    <w:sdt>
      <w:sdtPr>
        <w:id w:val="3746631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8" w:name="_Toc256000028"/>
      <w:bookmarkStart w:id="39" w:name="_Toc256000038"/>
      <w:bookmarkStart w:id="40" w:name="_Toc256000050"/>
      <w:bookmarkStart w:id="41" w:name="_Toc256000064"/>
      <w:bookmarkStart w:id="42" w:name="_Toc256000080"/>
      <w:bookmarkStart w:id="43" w:name="_Toc256000098"/>
      <w:bookmarkStart w:id="44" w:name="_Toc256000118"/>
      <w:r>
        <w:rPr>
          <w:rFonts w:ascii="Cambria" w:eastAsia="Cambria" w:hAnsi="Cambria" w:cs="Cambria"/>
          <w:color w:val="365F91"/>
          <w:sz w:val="36"/>
        </w:rPr>
        <w:t>[Formato: [414000-I] La oferta]</w:t>
      </w:r>
      <w:bookmarkEnd w:id="44"/>
      <w:bookmarkEnd w:id="43"/>
      <w:bookmarkEnd w:id="42"/>
      <w:bookmarkEnd w:id="41"/>
      <w:bookmarkEnd w:id="40"/>
      <w:bookmarkEnd w:id="39"/>
      <w:bookmarkEnd w:id="38"/>
    </w:p>
    <w:p>
      <w:pPr>
        <w:pStyle w:val="Heading1"/>
      </w:pPr>
    </w:p>
    <w:sdt>
      <w:sdtPr>
        <w:id w:val="133422712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Transcripción de las cláusulas relevantes del acta de emisión</w:t>
          </w:r>
        </w:p>
      </w:sdtContent>
    </w:sdt>
    <w:p/>
    <w:p/>
    <w:p/>
    <w:p/>
    <w:p/>
    <w:sdt>
      <w:sdtPr>
        <w:id w:val="12535696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Denominación de la Emisora</w:t>
          </w:r>
        </w:p>
      </w:sdtContent>
    </w:sdt>
    <w:p/>
    <w:p/>
    <w:p/>
    <w:p/>
    <w:p/>
    <w:sdt>
      <w:sdtPr>
        <w:id w:val="10575066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Eventos extraordinarios</w:t>
          </w:r>
        </w:p>
      </w:sdtContent>
    </w:sdt>
    <w:p/>
    <w:p/>
    <w:p/>
    <w:p/>
    <w:p/>
    <w:sdt>
      <w:sdtPr>
        <w:id w:val="17741063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Cobertura y plan de requerimiento</w:t>
          </w:r>
        </w:p>
      </w:sdtContent>
    </w:sdt>
    <w:p/>
    <w:p/>
    <w:p/>
    <w:p/>
    <w:p/>
    <w:sdt>
      <w:sdtPr>
        <w:id w:val="138729345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Mecánica de ejercicio y liquidación.</w:t>
          </w:r>
        </w:p>
      </w:sdtContent>
    </w:sdt>
    <w:p/>
    <w:p/>
    <w:p/>
    <w:p/>
    <w:p/>
    <w:sdt>
      <w:sdtPr>
        <w:id w:val="5550445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Designación del representante común</w:t>
          </w:r>
        </w:p>
      </w:sdtContent>
    </w:sdt>
    <w:p/>
    <w:p/>
    <w:p/>
    <w:p/>
    <w:p/>
    <w:sdt>
      <w:sdtPr>
        <w:id w:val="18336527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Atribuciones del representante común.</w:t>
          </w:r>
        </w:p>
      </w:sdtContent>
    </w:sdt>
    <w:p/>
    <w:p/>
    <w:p/>
    <w:p/>
    <w:p/>
    <w:sdt>
      <w:sdtPr>
        <w:id w:val="7197705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Asamblea de tenedores de los títulos opcionales.</w:t>
          </w:r>
        </w:p>
      </w:sdtContent>
    </w:sdt>
    <w:p/>
    <w:p/>
    <w:p/>
    <w:p/>
    <w:p/>
    <w:sdt>
      <w:sdtPr>
        <w:id w:val="15671709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174976321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Ajustes técnicos.</w:t>
          </w:r>
        </w:p>
      </w:sdtContent>
    </w:sdt>
    <w:p/>
    <w:p/>
    <w:p/>
    <w:p/>
    <w:p/>
    <w:sdt>
      <w:sdtPr>
        <w:id w:val="175737551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Ejercicio de derechos corporativos y patrimoniales.</w:t>
          </w:r>
        </w:p>
      </w:sdtContent>
    </w:sdt>
    <w:p/>
    <w:p/>
    <w:p/>
    <w:p/>
    <w:p/>
    <w:sdt>
      <w:sdtPr>
        <w:id w:val="9703439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Obligaciones de los títulos.</w:t>
          </w:r>
        </w:p>
      </w:sdtContent>
    </w:sdt>
    <w:p/>
    <w:p/>
    <w:p/>
    <w:p/>
    <w:p/>
    <w:sdt>
      <w:sdtPr>
        <w:id w:val="14764938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Tribunales competentes</w:t>
          </w:r>
        </w:p>
      </w:sdtContent>
    </w:sdt>
    <w:p/>
    <w:p/>
    <w:p/>
    <w:p/>
    <w:p/>
    <w:sdt>
      <w:sdtPr>
        <w:id w:val="11655772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Destino de los fondos</w:t>
          </w:r>
        </w:p>
      </w:sdtContent>
    </w:sdt>
    <w:p/>
    <w:p/>
    <w:p/>
    <w:p/>
    <w:p/>
    <w:sdt>
      <w:sdtPr>
        <w:id w:val="11229326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Plan de distribución</w:t>
          </w:r>
        </w:p>
      </w:sdtContent>
    </w:sdt>
    <w:p/>
    <w:p/>
    <w:p/>
    <w:p/>
    <w:p/>
    <w:sdt>
      <w:sdtPr>
        <w:id w:val="16845707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Coberturas</w:t>
          </w:r>
        </w:p>
      </w:sdtContent>
    </w:sdt>
    <w:p/>
    <w:p/>
    <w:p/>
    <w:p/>
    <w:p/>
    <w:sdt>
      <w:sdtPr>
        <w:id w:val="18327398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Autorización y registro</w:t>
          </w:r>
        </w:p>
      </w:sdtContent>
    </w:sdt>
    <w:p/>
    <w:p/>
    <w:p/>
    <w:p/>
    <w:p/>
    <w:sdt>
      <w:sdtPr>
        <w:id w:val="1355516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Documentos de carácter público</w:t>
          </w:r>
        </w:p>
      </w:sdtContent>
    </w:sdt>
    <w:p/>
    <w:p/>
    <w:p/>
    <w:p/>
    <w:p/>
    <w:sdt>
      <w:sdtPr>
        <w:id w:val="15497297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Nombres de personas con participación relevante en la oferta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40"/>
      <w:bookmarkStart w:id="46" w:name="_Toc256000052"/>
      <w:bookmarkStart w:id="47" w:name="_Toc256000066"/>
      <w:bookmarkStart w:id="48" w:name="_Toc256000082"/>
      <w:bookmarkStart w:id="49" w:name="_Toc256000100"/>
      <w:bookmarkStart w:id="50" w:name="_Toc256000120"/>
      <w:r>
        <w:rPr>
          <w:rFonts w:ascii="Cambria" w:eastAsia="Cambria" w:hAnsi="Cambria" w:cs="Cambria"/>
          <w:color w:val="365F91"/>
          <w:sz w:val="36"/>
        </w:rPr>
        <w:t>[Formato: [417000-I] La emisora]</w:t>
      </w:r>
      <w:bookmarkEnd w:id="50"/>
      <w:bookmarkEnd w:id="49"/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15767484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Historia y desarrollo de la emisora</w:t>
          </w:r>
        </w:p>
      </w:sdtContent>
    </w:sdt>
    <w:p/>
    <w:p/>
    <w:p/>
    <w:p/>
    <w:p/>
    <w:sdt>
      <w:sdtPr>
        <w:id w:val="35411558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Descripción del negocio</w:t>
          </w:r>
        </w:p>
      </w:sdtContent>
    </w:sdt>
    <w:p/>
    <w:p/>
    <w:p/>
    <w:p/>
    <w:p/>
    <w:sdt>
      <w:sdtPr>
        <w:id w:val="3097348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Actividad Principal</w:t>
          </w:r>
        </w:p>
      </w:sdtContent>
    </w:sdt>
    <w:p/>
    <w:p/>
    <w:p/>
    <w:p/>
    <w:p/>
    <w:sdt>
      <w:sdtPr>
        <w:id w:val="15441958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Canales de distribución</w:t>
          </w:r>
        </w:p>
      </w:sdtContent>
    </w:sdt>
    <w:p/>
    <w:p/>
    <w:p/>
    <w:p/>
    <w:p/>
    <w:sdt>
      <w:sdtPr>
        <w:id w:val="58095531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Patentes, licencias, marcas y otros contratos</w:t>
          </w:r>
        </w:p>
      </w:sdtContent>
    </w:sdt>
    <w:p/>
    <w:p/>
    <w:p/>
    <w:p/>
    <w:p/>
    <w:sdt>
      <w:sdtPr>
        <w:id w:val="4724130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Principales clientes</w:t>
          </w:r>
        </w:p>
      </w:sdtContent>
    </w:sdt>
    <w:p/>
    <w:p/>
    <w:p/>
    <w:p/>
    <w:p/>
    <w:sdt>
      <w:sdtPr>
        <w:id w:val="13444757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Legislación aplicable y situación tributaria</w:t>
          </w:r>
        </w:p>
      </w:sdtContent>
    </w:sdt>
    <w:p/>
    <w:p/>
    <w:p/>
    <w:p/>
    <w:p/>
    <w:sdt>
      <w:sdtPr>
        <w:id w:val="12565667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Recursos humanos</w:t>
          </w:r>
        </w:p>
      </w:sdtContent>
    </w:sdt>
    <w:p/>
    <w:p/>
    <w:p/>
    <w:p/>
    <w:p/>
    <w:sdt>
      <w:sdtPr>
        <w:id w:val="72566488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Desempeño ambiental</w:t>
          </w:r>
        </w:p>
      </w:sdtContent>
    </w:sdt>
    <w:p/>
    <w:p/>
    <w:p/>
    <w:p/>
    <w:p/>
    <w:sdt>
      <w:sdtPr>
        <w:id w:val="7663521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Información de mercado</w:t>
          </w:r>
        </w:p>
      </w:sdtContent>
    </w:sdt>
    <w:p/>
    <w:p/>
    <w:p/>
    <w:p/>
    <w:p/>
    <w:sdt>
      <w:sdtPr>
        <w:id w:val="1640893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Estructura corporativa</w:t>
          </w:r>
        </w:p>
      </w:sdtContent>
    </w:sdt>
    <w:p/>
    <w:p/>
    <w:p/>
    <w:p/>
    <w:p/>
    <w:sdt>
      <w:sdtPr>
        <w:id w:val="5100647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Descripción de los principales activos</w:t>
          </w:r>
        </w:p>
      </w:sdtContent>
    </w:sdt>
    <w:p/>
    <w:p/>
    <w:p/>
    <w:p/>
    <w:p/>
    <w:sdt>
      <w:sdtPr>
        <w:id w:val="4043122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Procesos judiciales, administrativos o arbitrales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1" w:name="_Toc256000054"/>
      <w:bookmarkStart w:id="52" w:name="_Toc256000068"/>
      <w:bookmarkStart w:id="53" w:name="_Toc256000084"/>
      <w:bookmarkStart w:id="54" w:name="_Toc256000102"/>
      <w:bookmarkStart w:id="55" w:name="_Toc256000122"/>
      <w:r>
        <w:rPr>
          <w:rFonts w:ascii="Cambria" w:eastAsia="Cambria" w:hAnsi="Cambria" w:cs="Cambria"/>
          <w:color w:val="365F91"/>
          <w:sz w:val="36"/>
        </w:rPr>
        <w:t>[Formato: [418000-I] La emisora de los valores de referencia]</w:t>
      </w:r>
      <w:bookmarkEnd w:id="55"/>
      <w:bookmarkEnd w:id="54"/>
      <w:bookmarkEnd w:id="53"/>
      <w:bookmarkEnd w:id="52"/>
      <w:bookmarkEnd w:id="51"/>
    </w:p>
    <w:p>
      <w:pPr>
        <w:pStyle w:val="Heading1"/>
      </w:pPr>
    </w:p>
    <w:sdt>
      <w:sdtPr>
        <w:id w:val="16263157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Datos generales</w:t>
          </w:r>
        </w:p>
      </w:sdtContent>
    </w:sdt>
    <w:p/>
    <w:p/>
    <w:p/>
    <w:p/>
    <w:p/>
    <w:sdt>
      <w:sdtPr>
        <w:id w:val="15624871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Información bursátil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6" w:name="_Toc256000070"/>
      <w:bookmarkStart w:id="57" w:name="_Toc256000086"/>
      <w:bookmarkStart w:id="58" w:name="_Toc256000104"/>
      <w:bookmarkStart w:id="59" w:name="_Toc256000124"/>
      <w:r>
        <w:rPr>
          <w:rFonts w:ascii="Cambria" w:eastAsia="Cambria" w:hAnsi="Cambria" w:cs="Cambria"/>
          <w:color w:val="365F91"/>
          <w:sz w:val="36"/>
        </w:rPr>
        <w:t>[Formato: [424000-I] Información financiera]</w:t>
      </w:r>
      <w:bookmarkEnd w:id="59"/>
      <w:bookmarkEnd w:id="58"/>
      <w:bookmarkEnd w:id="57"/>
      <w:bookmarkEnd w:id="56"/>
    </w:p>
    <w:p>
      <w:pPr>
        <w:pStyle w:val="Heading1"/>
      </w:pPr>
    </w:p>
    <w:sdt>
      <w:sdtPr>
        <w:id w:val="3865980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Información financiera seleccionada</w:t>
          </w:r>
        </w:p>
      </w:sdtContent>
    </w:sdt>
    <w:p/>
    <w:p/>
    <w:p/>
    <w:p/>
    <w:p/>
    <w:sdt>
      <w:sdtPr>
        <w:id w:val="20874469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Información financiera por línea de negocio, zona geográfica y ventas de exportación</w:t>
          </w:r>
        </w:p>
      </w:sdtContent>
    </w:sdt>
    <w:p/>
    <w:p/>
    <w:p/>
    <w:p/>
    <w:p/>
    <w:sdt>
      <w:sdtPr>
        <w:id w:val="126722517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Informe de créditos relevantes</w:t>
          </w:r>
        </w:p>
      </w:sdtContent>
    </w:sdt>
    <w:p/>
    <w:p/>
    <w:p/>
    <w:p/>
    <w:p/>
    <w:sdt>
      <w:sdtPr>
        <w:id w:val="162977138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Comentarios y análisis de la administración sobre los resultados de operación y situación financiera de la emisora</w:t>
          </w:r>
        </w:p>
      </w:sdtContent>
    </w:sdt>
    <w:p/>
    <w:p/>
    <w:p/>
    <w:p/>
    <w:p/>
    <w:sdt>
      <w:sdtPr>
        <w:id w:val="2587686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Resultados de la operación</w:t>
          </w:r>
        </w:p>
      </w:sdtContent>
    </w:sdt>
    <w:p/>
    <w:p/>
    <w:p/>
    <w:p/>
    <w:p/>
    <w:sdt>
      <w:sdtPr>
        <w:id w:val="13953202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Situación financiera, liquidez y recursos de capital</w:t>
          </w:r>
        </w:p>
      </w:sdtContent>
    </w:sdt>
    <w:p/>
    <w:p/>
    <w:p/>
    <w:p/>
    <w:p/>
    <w:sdt>
      <w:sdtPr>
        <w:id w:val="10632969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Control Interno</w:t>
          </w:r>
        </w:p>
      </w:sdtContent>
    </w:sdt>
    <w:p/>
    <w:p/>
    <w:p/>
    <w:p/>
    <w:p/>
    <w:sdt>
      <w:sdtPr>
        <w:id w:val="7551599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Estimaciones, provisiones o reservas contables críticas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0" w:name="_Toc256000088"/>
      <w:bookmarkStart w:id="61" w:name="_Toc256000106"/>
      <w:bookmarkStart w:id="62" w:name="_Toc256000126"/>
      <w:r>
        <w:rPr>
          <w:rFonts w:ascii="Cambria" w:eastAsia="Cambria" w:hAnsi="Cambria" w:cs="Cambria"/>
          <w:color w:val="365F91"/>
          <w:sz w:val="36"/>
        </w:rPr>
        <w:t>[Formato: [427000-I] Administración]</w:t>
      </w:r>
      <w:bookmarkEnd w:id="62"/>
      <w:bookmarkEnd w:id="61"/>
      <w:bookmarkEnd w:id="60"/>
    </w:p>
    <w:p>
      <w:pPr>
        <w:pStyle w:val="Heading1"/>
      </w:pPr>
    </w:p>
    <w:sdt>
      <w:sdtPr>
        <w:id w:val="836163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Auditores externos</w:t>
          </w:r>
        </w:p>
      </w:sdtContent>
    </w:sdt>
    <w:p/>
    <w:p/>
    <w:p/>
    <w:p/>
    <w:p/>
    <w:sdt>
      <w:sdtPr>
        <w:id w:val="15786579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Operaciones con personas relacionadas y conflictos de interés</w:t>
          </w:r>
        </w:p>
      </w:sdtContent>
    </w:sdt>
    <w:p/>
    <w:p/>
    <w:p/>
    <w:p/>
    <w:p/>
    <w:sdt>
      <w:sdtPr>
        <w:id w:val="99066836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Administradores y accionistas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3" w:name="_Toc256000108"/>
      <w:bookmarkStart w:id="64" w:name="_Toc256000128"/>
      <w:r>
        <w:rPr>
          <w:rFonts w:ascii="Cambria" w:eastAsia="Cambria" w:hAnsi="Cambria" w:cs="Cambria"/>
          <w:color w:val="365F91"/>
          <w:sz w:val="36"/>
        </w:rPr>
        <w:t>[Formato: [431000-I] Personas responsables]</w:t>
      </w:r>
      <w:bookmarkEnd w:id="64"/>
      <w:bookmarkEnd w:id="63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5" w:name="_Toc256000130"/>
      <w:r>
        <w:rPr>
          <w:rFonts w:ascii="Cambria" w:eastAsia="Cambria" w:hAnsi="Cambria" w:cs="Cambria"/>
          <w:color w:val="365F91"/>
          <w:sz w:val="36"/>
        </w:rPr>
        <w:t>[Formato: [432000-I] Anexos]</w:t>
      </w:r>
      <w:bookmarkEnd w:id="65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70D2A-33FC-4BEE-AD0C-A174727A485C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18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