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fontTable.xml" ContentType="application/vnd.openxmlformats-officedocument.wordprocessingml.fontTable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</Types>
</file>

<file path=_rels/.rels>&#65279;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Relationship Id="rId4" Type="http://schemas.openxmlformats.org/officeDocument/2006/relationships/custom-properties" Target="docProps/custom.xml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!-- Generated by Aspose.Words for .NET 15.3.0.0 -->
  <w:body>
    <w:p>
      <w:r w:rsidR="00A77B3E">
        <w:rPr>
          <w:rFonts w:ascii="Arial" w:eastAsia="Arial" w:hAnsi="Arial" w:cs="Arial"/>
          <w:vanish/>
          <w:color w:val="auto"/>
          <w:sz w:val="14"/>
        </w:rPr>
        <w:t>v1.1</w:t>
      </w:r>
    </w:p>
    <w:sdt>
      <w:sdtPr>
        <w:id w:val="112057176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Abax XBRL®</w:t>
          </w: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Importación de información de notas para el Documento de Instancia</w:t>
          </w: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TAXONOMÍA BMV PROS L 2016</w:t>
          </w: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versión 1.1</w:t>
          </w:r>
        </w:p>
        <w:p>
          <w:pPr>
            <w:spacing w:line="240" w:lineRule="auto"/>
            <w:jc w:val="center"/>
          </w:pPr>
        </w:p>
      </w:sdtContent>
    </w:sdt>
    <w:p>
      <w:pPr>
        <w:rPr>
          <w:rFonts w:ascii="Cambria" w:eastAsia="Cambria" w:hAnsi="Cambria" w:cs="Cambria"/>
          <w:color w:val="365F91"/>
          <w:sz w:val="28"/>
        </w:rPr>
      </w:pPr>
      <w:r>
        <w:br w:type="page"/>
      </w:r>
      <w:r>
        <w:rPr>
          <w:rFonts w:ascii="Cambria" w:eastAsia="Cambria" w:hAnsi="Cambria" w:cs="Cambria"/>
          <w:color w:val="365F91"/>
          <w:sz w:val="28"/>
        </w:rPr>
        <w:t>Contenido</w:t>
      </w:r>
    </w:p>
    <w:p>
      <w:pPr>
        <w:rPr>
          <w:rFonts w:ascii="Cambria" w:eastAsia="Cambria" w:hAnsi="Cambria" w:cs="Cambria"/>
          <w:color w:val="365F91"/>
          <w:sz w:val="28"/>
        </w:rPr>
      </w:pP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rPr>
          <w:rFonts w:ascii="Cambria" w:eastAsia="Cambria" w:hAnsi="Cambria" w:cs="Cambria"/>
          <w:color w:val="365F91"/>
          <w:sz w:val="28"/>
        </w:rPr>
        <w:fldChar w:fldCharType="begin"/>
      </w:r>
      <w:r>
        <w:rPr>
          <w:rFonts w:ascii="Cambria" w:eastAsia="Cambria" w:hAnsi="Cambria" w:cs="Cambria"/>
          <w:color w:val="365F91"/>
          <w:sz w:val="28"/>
        </w:rPr>
        <w:instrText>TOC \o "1-3" \h \z \u</w:instrText>
      </w:r>
      <w:r>
        <w:rPr>
          <w:rFonts w:ascii="Cambria" w:eastAsia="Cambria" w:hAnsi="Cambria" w:cs="Cambria"/>
          <w:color w:val="365F91"/>
          <w:sz w:val="28"/>
        </w:rPr>
        <w:fldChar w:fldCharType="separate"/>
      </w:r>
      <w:r>
        <w:fldChar w:fldCharType="begin"/>
      </w:r>
      <w:r>
        <w:rPr>
          <w:rStyle w:val="Hyperlink"/>
        </w:rPr>
        <w:instrText xml:space="preserve"> HYPERLINK \l "_Toc256000110"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Instrucciones de llenado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_Toc256000110 \h </w:instrText>
      </w:r>
      <w:r>
        <w:fldChar w:fldCharType="separate"/>
      </w:r>
      <w:r>
        <w:rPr>
          <w:rStyle w:val="Hyperlink"/>
        </w:rPr>
        <w:t>3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"_Toc256000112"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[411000-L] Datos generales]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_Toc256000112 \h </w:instrText>
      </w:r>
      <w:r>
        <w:fldChar w:fldCharType="separate"/>
      </w:r>
      <w:r>
        <w:rPr>
          <w:rStyle w:val="Hyperlink"/>
        </w:rPr>
        <w:t>4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"_Toc256000114"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[412000-L] Portada prospecto]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_Toc256000114 \h </w:instrText>
      </w:r>
      <w:r>
        <w:fldChar w:fldCharType="separate"/>
      </w:r>
      <w:r>
        <w:rPr>
          <w:rStyle w:val="Hyperlink"/>
        </w:rPr>
        <w:t>5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"_Toc256000116"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[413000-L] Información general]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_Toc256000116 \h </w:instrText>
      </w:r>
      <w:r>
        <w:fldChar w:fldCharType="separate"/>
      </w:r>
      <w:r>
        <w:rPr>
          <w:rStyle w:val="Hyperlink"/>
        </w:rPr>
        <w:t>8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"_Toc256000118"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[414000-L] La oferta]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_Toc256000118 \h </w:instrText>
      </w:r>
      <w:r>
        <w:fldChar w:fldCharType="separate"/>
      </w:r>
      <w:r>
        <w:rPr>
          <w:rStyle w:val="Hyperlink"/>
        </w:rPr>
        <w:t>9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"_Toc256000120"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[419000-L] Descripción de la entidad federativa o municipio]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_Toc256000120 \h </w:instrText>
      </w:r>
      <w:r>
        <w:fldChar w:fldCharType="separate"/>
      </w:r>
      <w:r>
        <w:rPr>
          <w:rStyle w:val="Hyperlink"/>
        </w:rPr>
        <w:t>13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"_Toc256000122"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[424000-L] Información financiera]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_Toc256000122 \h </w:instrText>
      </w:r>
      <w:r>
        <w:fldChar w:fldCharType="separate"/>
      </w:r>
      <w:r>
        <w:rPr>
          <w:rStyle w:val="Hyperlink"/>
        </w:rPr>
        <w:t>16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"_Toc256000124"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[427000-L] Administración]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_Toc256000124 \h </w:instrText>
      </w:r>
      <w:r>
        <w:fldChar w:fldCharType="separate"/>
      </w:r>
      <w:r>
        <w:rPr>
          <w:rStyle w:val="Hyperlink"/>
        </w:rPr>
        <w:t>17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"_Toc256000126"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[430000-L] Activos subyacentes]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_Toc256000126 \h </w:instrText>
      </w:r>
      <w:r>
        <w:fldChar w:fldCharType="separate"/>
      </w:r>
      <w:r>
        <w:rPr>
          <w:rStyle w:val="Hyperlink"/>
        </w:rPr>
        <w:t>18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"_Toc256000128"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[431000-L] Personas responsables]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_Toc256000128 \h </w:instrText>
      </w:r>
      <w:r>
        <w:fldChar w:fldCharType="separate"/>
      </w:r>
      <w:r>
        <w:rPr>
          <w:rStyle w:val="Hyperlink"/>
        </w:rPr>
        <w:t>19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"_Toc256000130"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[432000-L] Anexos]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_Toc256000130 \h </w:instrText>
      </w:r>
      <w:r>
        <w:fldChar w:fldCharType="separate"/>
      </w:r>
      <w:r>
        <w:rPr>
          <w:rStyle w:val="Hyperlink"/>
        </w:rPr>
        <w:t>20</w:t>
      </w:r>
      <w:r>
        <w:fldChar w:fldCharType="end"/>
      </w:r>
      <w:r>
        <w:fldChar w:fldCharType="end"/>
      </w:r>
    </w:p>
    <w:p>
      <w:pPr>
        <w:pStyle w:val="Heading1"/>
        <w:rPr>
          <w:rFonts w:ascii="Cambria" w:eastAsia="Cambria" w:hAnsi="Cambria" w:cs="Cambria"/>
          <w:color w:val="365F91"/>
          <w:sz w:val="28"/>
        </w:rPr>
      </w:pPr>
      <w:r>
        <w:rPr>
          <w:rFonts w:ascii="Cambria" w:eastAsia="Cambria" w:hAnsi="Cambria" w:cs="Cambria"/>
          <w:color w:val="365F91"/>
          <w:sz w:val="28"/>
        </w:rPr>
        <w:fldChar w:fldCharType="end"/>
      </w:r>
      <w:r>
        <w:rPr>
          <w:rFonts w:ascii="Cambria" w:eastAsia="Cambria" w:hAnsi="Cambria" w:cs="Cambria"/>
          <w:color w:val="365F91"/>
          <w:sz w:val="28"/>
        </w:rPr>
        <w:br w:type="page"/>
      </w:r>
      <w:bookmarkStart w:id="0" w:name="_Toc256000000"/>
      <w:bookmarkStart w:id="1" w:name="_Toc256000002"/>
      <w:bookmarkStart w:id="2" w:name="_Toc256000006"/>
      <w:bookmarkStart w:id="3" w:name="_Toc256000012"/>
      <w:bookmarkStart w:id="4" w:name="_Toc256000020"/>
      <w:bookmarkStart w:id="5" w:name="_Toc256000030"/>
      <w:bookmarkStart w:id="6" w:name="_Toc256000042"/>
      <w:bookmarkStart w:id="7" w:name="_Toc256000056"/>
      <w:bookmarkStart w:id="8" w:name="_Toc256000072"/>
      <w:bookmarkStart w:id="9" w:name="_Toc256000090"/>
      <w:bookmarkStart w:id="10" w:name="_Toc256000110"/>
      <w:r>
        <w:rPr>
          <w:rFonts w:ascii="Cambria" w:eastAsia="Cambria" w:hAnsi="Cambria" w:cs="Cambria"/>
          <w:color w:val="365F91"/>
          <w:sz w:val="36"/>
        </w:rPr>
        <w:t>Instrucciones de llenado</w:t>
      </w:r>
      <w:bookmarkEnd w:id="10"/>
      <w:bookmarkEnd w:id="9"/>
      <w:bookmarkEnd w:id="8"/>
      <w:bookmarkEnd w:id="7"/>
      <w:bookmarkEnd w:id="6"/>
      <w:bookmarkEnd w:id="5"/>
      <w:bookmarkEnd w:id="4"/>
      <w:bookmarkEnd w:id="3"/>
      <w:bookmarkEnd w:id="2"/>
      <w:bookmarkEnd w:id="1"/>
      <w:bookmarkEnd w:id="0"/>
    </w:p>
    <w:p>
      <w:pPr>
        <w:pStyle w:val="Heading1"/>
      </w:pPr>
    </w:p>
    <w:sdt>
      <w:sdtPr>
        <w:id w:val="57928513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Para la correcta importación de las notas en un documento de instancia se debe de tener en cuenta lo siguiente: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Incluir el contenido inmediatamente debajo de la nota que se desee importar.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Se tiene que respetar la totalidad del documento sin eliminar conceptos.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Siempre se debe de guardar el documento en formato .docx (Office 2007 en adelante).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Siempre debe de tener como base esta plantilla para importar información (dotx).</w:t>
          </w:r>
        </w:p>
      </w:sdtContent>
    </w:sdt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11" w:name="_Toc256000004"/>
      <w:bookmarkStart w:id="12" w:name="_Toc256000008"/>
      <w:bookmarkStart w:id="13" w:name="_Toc256000014"/>
      <w:bookmarkStart w:id="14" w:name="_Toc256000022"/>
      <w:bookmarkStart w:id="15" w:name="_Toc256000032"/>
      <w:bookmarkStart w:id="16" w:name="_Toc256000044"/>
      <w:bookmarkStart w:id="17" w:name="_Toc256000058"/>
      <w:bookmarkStart w:id="18" w:name="_Toc256000074"/>
      <w:bookmarkStart w:id="19" w:name="_Toc256000092"/>
      <w:bookmarkStart w:id="20" w:name="_Toc256000112"/>
      <w:r>
        <w:rPr>
          <w:rFonts w:ascii="Cambria" w:eastAsia="Cambria" w:hAnsi="Cambria" w:cs="Cambria"/>
          <w:color w:val="365F91"/>
          <w:sz w:val="36"/>
        </w:rPr>
        <w:t>[Formato: [411000-L] Datos generales]</w:t>
      </w:r>
      <w:bookmarkEnd w:id="20"/>
      <w:bookmarkEnd w:id="19"/>
      <w:bookmarkEnd w:id="18"/>
      <w:bookmarkEnd w:id="17"/>
      <w:bookmarkEnd w:id="16"/>
      <w:bookmarkEnd w:id="15"/>
      <w:bookmarkEnd w:id="14"/>
      <w:bookmarkEnd w:id="13"/>
      <w:bookmarkEnd w:id="12"/>
      <w:bookmarkEnd w:id="11"/>
    </w:p>
    <w:p>
      <w:pPr>
        <w:pStyle w:val="Heading1"/>
      </w:pPr>
    </w:p>
    <w:sdt>
      <w:sdtPr>
        <w:id w:val="37470950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[XBRL-0001]    Acontecimientos Recientes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21" w:name="_Toc256000010"/>
      <w:bookmarkStart w:id="22" w:name="_Toc256000016"/>
      <w:bookmarkStart w:id="23" w:name="_Toc256000024"/>
      <w:bookmarkStart w:id="24" w:name="_Toc256000034"/>
      <w:bookmarkStart w:id="25" w:name="_Toc256000046"/>
      <w:bookmarkStart w:id="26" w:name="_Toc256000060"/>
      <w:bookmarkStart w:id="27" w:name="_Toc256000076"/>
      <w:bookmarkStart w:id="28" w:name="_Toc256000094"/>
      <w:bookmarkStart w:id="29" w:name="_Toc256000114"/>
      <w:r>
        <w:rPr>
          <w:rFonts w:ascii="Cambria" w:eastAsia="Cambria" w:hAnsi="Cambria" w:cs="Cambria"/>
          <w:color w:val="365F91"/>
          <w:sz w:val="36"/>
        </w:rPr>
        <w:t>[Formato: [412000-L] Portada prospecto]</w:t>
      </w:r>
      <w:bookmarkEnd w:id="29"/>
      <w:bookmarkEnd w:id="28"/>
      <w:bookmarkEnd w:id="27"/>
      <w:bookmarkEnd w:id="26"/>
      <w:bookmarkEnd w:id="25"/>
      <w:bookmarkEnd w:id="24"/>
      <w:bookmarkEnd w:id="23"/>
      <w:bookmarkEnd w:id="22"/>
      <w:bookmarkEnd w:id="21"/>
    </w:p>
    <w:p>
      <w:pPr>
        <w:pStyle w:val="Heading1"/>
      </w:pPr>
    </w:p>
    <w:sdt>
      <w:sdtPr>
        <w:id w:val="112263972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[XBRL-0002]    Denominación de la Emisora</w:t>
          </w:r>
        </w:p>
      </w:sdtContent>
    </w:sdt>
    <w:p/>
    <w:p/>
    <w:p/>
    <w:p/>
    <w:p/>
    <w:sdt>
      <w:sdtPr>
        <w:id w:val="158312898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[XBRL-0003]    Recurso neto que obtendrá la emisora con la colocación</w:t>
          </w:r>
        </w:p>
      </w:sdtContent>
    </w:sdt>
    <w:p/>
    <w:p/>
    <w:p/>
    <w:p/>
    <w:p/>
    <w:sdt>
      <w:sdtPr>
        <w:id w:val="7232366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[XBRL-0004]    Posibles adquirentes: “Personas físicas y morales cuando su régimen de inversión lo prevea expresamente”</w:t>
          </w:r>
        </w:p>
      </w:sdtContent>
    </w:sdt>
    <w:p/>
    <w:p/>
    <w:p/>
    <w:p/>
    <w:p/>
    <w:sdt>
      <w:sdtPr>
        <w:id w:val="121634204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[XBRL-0005]    En su caso, denominación de los intermediarios participantes del sindicato colocador</w:t>
          </w:r>
        </w:p>
      </w:sdtContent>
    </w:sdt>
    <w:p/>
    <w:p/>
    <w:p/>
    <w:p/>
    <w:p/>
    <w:sdt>
      <w:sdtPr>
        <w:id w:val="167701781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[XBRL-0006]    En su caso, la mención de cualquier riesgo asociado a la operación de que se trate</w:t>
          </w:r>
        </w:p>
      </w:sdtContent>
    </w:sdt>
    <w:p/>
    <w:p/>
    <w:p/>
    <w:p/>
    <w:p/>
    <w:sdt>
      <w:sdtPr>
        <w:id w:val="98098343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[XBRL-0007]    Bases para determinación del rendimiento</w:t>
          </w:r>
        </w:p>
      </w:sdtContent>
    </w:sdt>
    <w:p/>
    <w:p/>
    <w:p/>
    <w:p/>
    <w:p/>
    <w:sdt>
      <w:sdtPr>
        <w:id w:val="16915530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[XBRL-0008]    Periodicidad y forma de amortización de los títulos y, en su caso, señalar las causas y tratamiento de amortización anticipada</w:t>
          </w:r>
        </w:p>
      </w:sdtContent>
    </w:sdt>
    <w:p/>
    <w:p/>
    <w:p/>
    <w:p/>
    <w:p/>
    <w:sdt>
      <w:sdtPr>
        <w:id w:val="82179413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[XBRL-0009]    Mencionar si cuenta o no con aval u otra garantía y forma de ejecutar o hacer efectiva la misma.</w:t>
          </w:r>
        </w:p>
      </w:sdtContent>
    </w:sdt>
    <w:p/>
    <w:p/>
    <w:p/>
    <w:p/>
    <w:p/>
    <w:sdt>
      <w:sdtPr>
        <w:id w:val="109713611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[XBRL-00010]    Lugar y forma de pago de intereses o rendimientos y principal</w:t>
          </w:r>
        </w:p>
      </w:sdtContent>
    </w:sdt>
    <w:p/>
    <w:p/>
    <w:p/>
    <w:p/>
    <w:p/>
    <w:sdt>
      <w:sdtPr>
        <w:id w:val="179486658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[XBRL-00011]    Plazo y fecha de vencimiento</w:t>
          </w:r>
        </w:p>
      </w:sdtContent>
    </w:sdt>
    <w:p/>
    <w:p/>
    <w:p/>
    <w:p/>
    <w:p/>
    <w:sdt>
      <w:sdtPr>
        <w:id w:val="116168497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[XBRL-00012]    Datos relativos al contrato de fideicomiso</w:t>
          </w:r>
        </w:p>
      </w:sdtContent>
    </w:sdt>
    <w:p/>
    <w:p/>
    <w:p/>
    <w:p/>
    <w:p/>
    <w:sdt>
      <w:sdtPr>
        <w:id w:val="95297632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[XBRL-00013]    Fideicomitente</w:t>
          </w:r>
        </w:p>
      </w:sdtContent>
    </w:sdt>
    <w:p/>
    <w:p/>
    <w:p/>
    <w:p/>
    <w:p/>
    <w:sdt>
      <w:sdtPr>
        <w:id w:val="123339465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[XBRL-00014]    Características o términos generales de los valores a fideicomitir</w:t>
          </w:r>
        </w:p>
      </w:sdtContent>
    </w:sdt>
    <w:p/>
    <w:p/>
    <w:p/>
    <w:p/>
    <w:p/>
    <w:sdt>
      <w:sdtPr>
        <w:id w:val="69485553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[XBRL-00015]    Derechos que confieren los valores emitidos al amparo del fideicomiso</w:t>
          </w:r>
        </w:p>
      </w:sdtContent>
    </w:sdt>
    <w:p/>
    <w:p/>
    <w:p/>
    <w:p/>
    <w:p/>
    <w:sdt>
      <w:sdtPr>
        <w:id w:val="114745375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[XBRL-00016]    Forma de amortización de los títulos</w:t>
          </w:r>
        </w:p>
      </w:sdtContent>
    </w:sdt>
    <w:p/>
    <w:p/>
    <w:p/>
    <w:p/>
    <w:p/>
    <w:sdt>
      <w:sdtPr>
        <w:id w:val="19337367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[XBRL-00017]    Denominación del representante común de los tenedores de los títulos</w:t>
          </w:r>
        </w:p>
      </w:sdtContent>
    </w:sdt>
    <w:p/>
    <w:p/>
    <w:p/>
    <w:p/>
    <w:p/>
    <w:sdt>
      <w:sdtPr>
        <w:id w:val="134636867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[XBRL-00018]    En su caso, dictamen valuatorio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30" w:name="_Toc256000018"/>
      <w:bookmarkStart w:id="31" w:name="_Toc256000026"/>
      <w:bookmarkStart w:id="32" w:name="_Toc256000036"/>
      <w:bookmarkStart w:id="33" w:name="_Toc256000048"/>
      <w:bookmarkStart w:id="34" w:name="_Toc256000062"/>
      <w:bookmarkStart w:id="35" w:name="_Toc256000078"/>
      <w:bookmarkStart w:id="36" w:name="_Toc256000096"/>
      <w:bookmarkStart w:id="37" w:name="_Toc256000116"/>
      <w:r>
        <w:rPr>
          <w:rFonts w:ascii="Cambria" w:eastAsia="Cambria" w:hAnsi="Cambria" w:cs="Cambria"/>
          <w:color w:val="365F91"/>
          <w:sz w:val="36"/>
        </w:rPr>
        <w:t>[Formato: [413000-L] Información general]</w:t>
      </w:r>
      <w:bookmarkEnd w:id="37"/>
      <w:bookmarkEnd w:id="36"/>
      <w:bookmarkEnd w:id="35"/>
      <w:bookmarkEnd w:id="34"/>
      <w:bookmarkEnd w:id="33"/>
      <w:bookmarkEnd w:id="32"/>
      <w:bookmarkEnd w:id="31"/>
      <w:bookmarkEnd w:id="30"/>
    </w:p>
    <w:p>
      <w:pPr>
        <w:pStyle w:val="Heading1"/>
      </w:pPr>
    </w:p>
    <w:sdt>
      <w:sdtPr>
        <w:id w:val="167674340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[XBRL-00019]    Glosario de términos y definiciones</w:t>
          </w:r>
        </w:p>
      </w:sdtContent>
    </w:sdt>
    <w:p/>
    <w:p/>
    <w:p/>
    <w:p/>
    <w:p/>
    <w:sdt>
      <w:sdtPr>
        <w:id w:val="173079358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[XBRL-00020]    Resumen ejecutivo</w:t>
          </w:r>
        </w:p>
      </w:sdtContent>
    </w:sdt>
    <w:p/>
    <w:p/>
    <w:p/>
    <w:p/>
    <w:p/>
    <w:sdt>
      <w:sdtPr>
        <w:id w:val="76236099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[XBRL-00021]    Factores de riesgo</w:t>
          </w:r>
        </w:p>
      </w:sdtContent>
    </w:sdt>
    <w:p/>
    <w:p/>
    <w:p/>
    <w:p/>
    <w:p/>
    <w:sdt>
      <w:sdtPr>
        <w:id w:val="104534742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[XBRL-00022]    Otros Valores</w:t>
          </w:r>
        </w:p>
      </w:sdtContent>
    </w:sdt>
    <w:p/>
    <w:p/>
    <w:p/>
    <w:p/>
    <w:p/>
    <w:sdt>
      <w:sdtPr>
        <w:id w:val="206457137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[XBRL-00023]    Documentos de carácter público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38" w:name="_Toc256000028"/>
      <w:bookmarkStart w:id="39" w:name="_Toc256000038"/>
      <w:bookmarkStart w:id="40" w:name="_Toc256000050"/>
      <w:bookmarkStart w:id="41" w:name="_Toc256000064"/>
      <w:bookmarkStart w:id="42" w:name="_Toc256000080"/>
      <w:bookmarkStart w:id="43" w:name="_Toc256000098"/>
      <w:bookmarkStart w:id="44" w:name="_Toc256000118"/>
      <w:r>
        <w:rPr>
          <w:rFonts w:ascii="Cambria" w:eastAsia="Cambria" w:hAnsi="Cambria" w:cs="Cambria"/>
          <w:color w:val="365F91"/>
          <w:sz w:val="36"/>
        </w:rPr>
        <w:t>[Formato: [414000-L] La oferta]</w:t>
      </w:r>
      <w:bookmarkEnd w:id="44"/>
      <w:bookmarkEnd w:id="43"/>
      <w:bookmarkEnd w:id="42"/>
      <w:bookmarkEnd w:id="41"/>
      <w:bookmarkEnd w:id="40"/>
      <w:bookmarkEnd w:id="39"/>
      <w:bookmarkEnd w:id="38"/>
    </w:p>
    <w:p>
      <w:pPr>
        <w:pStyle w:val="Heading1"/>
      </w:pPr>
    </w:p>
    <w:sdt>
      <w:sdtPr>
        <w:id w:val="135589137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[XBRL-00024]    Características de la oferta</w:t>
          </w:r>
        </w:p>
      </w:sdtContent>
    </w:sdt>
    <w:p/>
    <w:p/>
    <w:p/>
    <w:p/>
    <w:p/>
    <w:sdt>
      <w:sdtPr>
        <w:id w:val="187088273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[XBRL-00025]    Otras consideraciones de la oferta</w:t>
          </w:r>
        </w:p>
      </w:sdtContent>
    </w:sdt>
    <w:p/>
    <w:p/>
    <w:p/>
    <w:p/>
    <w:p/>
    <w:sdt>
      <w:sdtPr>
        <w:id w:val="21454021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[XBRL-00026]    Posibles adquirentes: “Personas físicas y morales cuando su régimen de inversión lo prevea expresamente”</w:t>
          </w:r>
        </w:p>
      </w:sdtContent>
    </w:sdt>
    <w:p/>
    <w:p/>
    <w:p/>
    <w:p/>
    <w:p/>
    <w:sdt>
      <w:sdtPr>
        <w:id w:val="48248004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[XBRL-00027]    Mención del acta de la asamblea general extraordinaria de accionistas o acuerdo del consejo de administración, en lo relativo a la aprobación de la emisión de los títulos, en su caso.</w:t>
          </w:r>
        </w:p>
      </w:sdtContent>
    </w:sdt>
    <w:p/>
    <w:p/>
    <w:p/>
    <w:p/>
    <w:p/>
    <w:sdt>
      <w:sdtPr>
        <w:id w:val="6725862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[XBRL-00028]    Explicación descriptiva y esquemática de la operación que se pretende llevar a cabo</w:t>
          </w:r>
        </w:p>
      </w:sdtContent>
    </w:sdt>
    <w:p/>
    <w:p/>
    <w:p/>
    <w:p/>
    <w:p/>
    <w:sdt>
      <w:sdtPr>
        <w:id w:val="111528104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[XBRL-00029]    Mencionar la calificación sobre el riesgo crediticio de la emisión o del programa expedida por cuando menos una institución calificadora de valores cuya fecha de expedición no sea mayor a 90 días a la de colocación.</w:t>
          </w:r>
        </w:p>
      </w:sdtContent>
    </w:sdt>
    <w:p/>
    <w:p/>
    <w:p/>
    <w:p/>
    <w:p/>
    <w:sdt>
      <w:sdtPr>
        <w:id w:val="197718256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[XBRL-00030]    Mencionar si cuenta o no con aval u otra garantía y forma de ejecutar o hacer efectiva la misma.</w:t>
          </w:r>
        </w:p>
      </w:sdtContent>
    </w:sdt>
    <w:p/>
    <w:p/>
    <w:p/>
    <w:p/>
    <w:p/>
    <w:sdt>
      <w:sdtPr>
        <w:id w:val="66848512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[XBRL-00031]    Forma de ejecutar o hacer efectiva la garantía</w:t>
          </w:r>
        </w:p>
      </w:sdtContent>
    </w:sdt>
    <w:p/>
    <w:p/>
    <w:p/>
    <w:p/>
    <w:p/>
    <w:sdt>
      <w:sdtPr>
        <w:id w:val="155427954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[XBRL-00032]    En el caso de títulos con garantía hipotecaria especificar el valor de los bienes otorgados en garantía, descripción de los mismos y los datos del avalúo vigente</w:t>
          </w:r>
        </w:p>
      </w:sdtContent>
    </w:sdt>
    <w:p/>
    <w:p/>
    <w:p/>
    <w:p/>
    <w:p/>
    <w:sdt>
      <w:sdtPr>
        <w:id w:val="57928749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[XBRL-00033]    Mencionar si los bienes dados en garantía se encuentran asegurados y los datos de la póliza.</w:t>
          </w:r>
        </w:p>
      </w:sdtContent>
    </w:sdt>
    <w:p/>
    <w:p/>
    <w:p/>
    <w:p/>
    <w:p/>
    <w:sdt>
      <w:sdtPr>
        <w:id w:val="67337217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[XBRL-00034]    Si los títulos cuentan con garantía fiduciaria, incluir extracto del contrato del fideicomiso, así como el valor de los bienes según avalúo vigente y los datos de éste, en su caso.</w:t>
          </w:r>
        </w:p>
      </w:sdtContent>
    </w:sdt>
    <w:p/>
    <w:p/>
    <w:p/>
    <w:p/>
    <w:p/>
    <w:sdt>
      <w:sdtPr>
        <w:id w:val="66709588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[XBRL-00035]    Bases para determinación del rendimiento</w:t>
          </w:r>
        </w:p>
      </w:sdtContent>
    </w:sdt>
    <w:p/>
    <w:p/>
    <w:p/>
    <w:p/>
    <w:p/>
    <w:sdt>
      <w:sdtPr>
        <w:id w:val="158542118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[XBRL-00036]    Tabla de amortizaciones.</w:t>
          </w:r>
        </w:p>
      </w:sdtContent>
    </w:sdt>
    <w:p/>
    <w:p/>
    <w:p/>
    <w:p/>
    <w:p/>
    <w:sdt>
      <w:sdtPr>
        <w:id w:val="147640267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[XBRL-00037]    Periodicidad y forma de amortización de los títulos y, en su caso, señalar las causas y tratamiento de amortización anticipada</w:t>
          </w:r>
        </w:p>
      </w:sdtContent>
    </w:sdt>
    <w:p/>
    <w:p/>
    <w:p/>
    <w:p/>
    <w:p/>
    <w:sdt>
      <w:sdtPr>
        <w:id w:val="198637132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[XBRL-00038]    Limitantes a los que se encontrará sujeta la emisora durante la vigencia de la emisión</w:t>
          </w:r>
        </w:p>
      </w:sdtContent>
    </w:sdt>
    <w:p/>
    <w:p/>
    <w:p/>
    <w:p/>
    <w:p/>
    <w:sdt>
      <w:sdtPr>
        <w:id w:val="39530315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[XBRL-00039]    Revelar los términos de cualquier cláusula por medio de la cual se permita incrementar el número de títulos sin autorización de los tenedores.</w:t>
          </w:r>
        </w:p>
      </w:sdtContent>
    </w:sdt>
    <w:p/>
    <w:p/>
    <w:p/>
    <w:p/>
    <w:p/>
    <w:sdt>
      <w:sdtPr>
        <w:id w:val="34675604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[XBRL-00040]    Transcripción de otros términos relevantes del título y, en su caso, del acta de emisión</w:t>
          </w:r>
        </w:p>
      </w:sdtContent>
    </w:sdt>
    <w:p/>
    <w:p/>
    <w:p/>
    <w:p/>
    <w:p/>
    <w:sdt>
      <w:sdtPr>
        <w:id w:val="200352009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[XBRL-00041]    Identificación de la fuente de los recursos necesarios para hacer frente a las obligaciones de pago de los títulos</w:t>
          </w:r>
        </w:p>
      </w:sdtContent>
    </w:sdt>
    <w:p/>
    <w:p/>
    <w:p/>
    <w:p/>
    <w:p/>
    <w:sdt>
      <w:sdtPr>
        <w:id w:val="175692953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[XBRL-00042]    Resumen del contrato de fideicomiso incluyendo las obligaciones del fideicomitente.</w:t>
          </w:r>
        </w:p>
      </w:sdtContent>
    </w:sdt>
    <w:p/>
    <w:p/>
    <w:p/>
    <w:p/>
    <w:p/>
    <w:sdt>
      <w:sdtPr>
        <w:id w:val="79285250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[XBRL-00043]    Destino de los fondos</w:t>
          </w:r>
        </w:p>
      </w:sdtContent>
    </w:sdt>
    <w:p/>
    <w:p/>
    <w:p/>
    <w:p/>
    <w:p/>
    <w:sdt>
      <w:sdtPr>
        <w:id w:val="203032841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[XBRL-00044]    Plan de distribución</w:t>
          </w:r>
        </w:p>
      </w:sdtContent>
    </w:sdt>
    <w:p/>
    <w:p/>
    <w:p/>
    <w:p/>
    <w:p/>
    <w:sdt>
      <w:sdtPr>
        <w:id w:val="35719292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[XBRL-00045]    Estructura de capital después de la oferta</w:t>
          </w:r>
        </w:p>
      </w:sdtContent>
    </w:sdt>
    <w:p/>
    <w:p/>
    <w:p/>
    <w:p/>
    <w:p/>
    <w:sdt>
      <w:sdtPr>
        <w:id w:val="2578692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[XBRL-00046]    Funciones del representante común</w:t>
          </w:r>
        </w:p>
      </w:sdtContent>
    </w:sdt>
    <w:p/>
    <w:p/>
    <w:p/>
    <w:p/>
    <w:p/>
    <w:sdt>
      <w:sdtPr>
        <w:id w:val="86390197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[XBRL-00047]    Nombres de personas con participación relevante en la oferta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45" w:name="_Toc256000040"/>
      <w:bookmarkStart w:id="46" w:name="_Toc256000052"/>
      <w:bookmarkStart w:id="47" w:name="_Toc256000066"/>
      <w:bookmarkStart w:id="48" w:name="_Toc256000082"/>
      <w:bookmarkStart w:id="49" w:name="_Toc256000100"/>
      <w:bookmarkStart w:id="50" w:name="_Toc256000120"/>
      <w:r>
        <w:rPr>
          <w:rFonts w:ascii="Cambria" w:eastAsia="Cambria" w:hAnsi="Cambria" w:cs="Cambria"/>
          <w:color w:val="365F91"/>
          <w:sz w:val="36"/>
        </w:rPr>
        <w:t>[Formato: [419000-L] Descripción de la entidad federativa o municipio]</w:t>
      </w:r>
      <w:bookmarkEnd w:id="50"/>
      <w:bookmarkEnd w:id="49"/>
      <w:bookmarkEnd w:id="48"/>
      <w:bookmarkEnd w:id="47"/>
      <w:bookmarkEnd w:id="46"/>
      <w:bookmarkEnd w:id="45"/>
    </w:p>
    <w:p>
      <w:pPr>
        <w:pStyle w:val="Heading1"/>
      </w:pPr>
    </w:p>
    <w:sdt>
      <w:sdtPr>
        <w:id w:val="4989593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[XBRL-00048]    Descripción y desarrollo de la entidad federativa o municipio</w:t>
          </w:r>
        </w:p>
      </w:sdtContent>
    </w:sdt>
    <w:p/>
    <w:p/>
    <w:p/>
    <w:p/>
    <w:p/>
    <w:sdt>
      <w:sdtPr>
        <w:id w:val="129392490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[XBRL-00049]    Denominación del estado o municipio</w:t>
          </w:r>
        </w:p>
      </w:sdtContent>
    </w:sdt>
    <w:p/>
    <w:p/>
    <w:p/>
    <w:p/>
    <w:p/>
    <w:sdt>
      <w:sdtPr>
        <w:id w:val="110752040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[XBRL-00050]    Dirección de la oficina del ejecutivo estatal o municipal</w:t>
          </w:r>
        </w:p>
      </w:sdtContent>
    </w:sdt>
    <w:p/>
    <w:p/>
    <w:p/>
    <w:p/>
    <w:p/>
    <w:sdt>
      <w:sdtPr>
        <w:id w:val="201994190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[XBRL-00051]    Actividad económica preponderante del municipio o estado</w:t>
          </w:r>
        </w:p>
      </w:sdtContent>
    </w:sdt>
    <w:p/>
    <w:p/>
    <w:p/>
    <w:p/>
    <w:p/>
    <w:sdt>
      <w:sdtPr>
        <w:id w:val="208052341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[XBRL-00052]    Descripción del desarrollo económico en los últimos 3 años</w:t>
          </w:r>
        </w:p>
      </w:sdtContent>
    </w:sdt>
    <w:p/>
    <w:p/>
    <w:p/>
    <w:p/>
    <w:p/>
    <w:sdt>
      <w:sdtPr>
        <w:id w:val="184304407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[XBRL-00053]    Cifras macroeconómicas relevantes</w:t>
          </w:r>
        </w:p>
      </w:sdtContent>
    </w:sdt>
    <w:p/>
    <w:p/>
    <w:p/>
    <w:p/>
    <w:p/>
    <w:sdt>
      <w:sdtPr>
        <w:id w:val="156965271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[XBRL-00054]    Enumerar los servicios públicos prestados, describiendo aquellos que generan recursos</w:t>
          </w:r>
        </w:p>
      </w:sdtContent>
    </w:sdt>
    <w:p/>
    <w:p/>
    <w:p/>
    <w:p/>
    <w:p/>
    <w:sdt>
      <w:sdtPr>
        <w:id w:val="43379041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[XBRL-00055]    Descripción de contratos relevantes que se tengan celebrados, incluyendo conseciones otorgadas y recibidas</w:t>
          </w:r>
        </w:p>
      </w:sdtContent>
    </w:sdt>
    <w:p/>
    <w:p/>
    <w:p/>
    <w:p/>
    <w:p/>
    <w:sdt>
      <w:sdtPr>
        <w:id w:val="118474375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[XBRL-00056]    Descripción de los procesos administrativos relevantes, tales como compras, licitación de obras, recaudación de impuestos</w:t>
          </w:r>
        </w:p>
      </w:sdtContent>
    </w:sdt>
    <w:p/>
    <w:p/>
    <w:p/>
    <w:p/>
    <w:p/>
    <w:sdt>
      <w:sdtPr>
        <w:id w:val="48718846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[XBRL-00057]    Descripción de las principales partidas de ingresos y egresos</w:t>
          </w:r>
        </w:p>
      </w:sdtContent>
    </w:sdt>
    <w:p/>
    <w:p/>
    <w:p/>
    <w:p/>
    <w:p/>
    <w:sdt>
      <w:sdtPr>
        <w:id w:val="154886016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[XBRL-00058]    Legislación aplicable y situación tributaria</w:t>
          </w:r>
        </w:p>
      </w:sdtContent>
    </w:sdt>
    <w:p/>
    <w:p/>
    <w:p/>
    <w:p/>
    <w:p/>
    <w:sdt>
      <w:sdtPr>
        <w:id w:val="95779605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[XBRL-00059]    Recursos humanos</w:t>
          </w:r>
        </w:p>
      </w:sdtContent>
    </w:sdt>
    <w:p/>
    <w:p/>
    <w:p/>
    <w:p/>
    <w:p/>
    <w:sdt>
      <w:sdtPr>
        <w:id w:val="36101531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[XBRL-00060]    Información corporativa</w:t>
          </w:r>
        </w:p>
      </w:sdtContent>
    </w:sdt>
    <w:p/>
    <w:p/>
    <w:p/>
    <w:p/>
    <w:p/>
    <w:sdt>
      <w:sdtPr>
        <w:id w:val="95032713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[XBRL-00061]    Descripción de los principales activos</w:t>
          </w:r>
        </w:p>
      </w:sdtContent>
    </w:sdt>
    <w:p/>
    <w:p/>
    <w:p/>
    <w:p/>
    <w:p/>
    <w:sdt>
      <w:sdtPr>
        <w:id w:val="53039388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[XBRL-00062]    Inversiones</w:t>
          </w:r>
        </w:p>
      </w:sdtContent>
    </w:sdt>
    <w:p/>
    <w:p/>
    <w:p/>
    <w:p/>
    <w:p/>
    <w:sdt>
      <w:sdtPr>
        <w:id w:val="28231403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[XBRL-00063]    Procesos judiciales, administrativos o arbitrales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51" w:name="_Toc256000054"/>
      <w:bookmarkStart w:id="52" w:name="_Toc256000068"/>
      <w:bookmarkStart w:id="53" w:name="_Toc256000084"/>
      <w:bookmarkStart w:id="54" w:name="_Toc256000102"/>
      <w:bookmarkStart w:id="55" w:name="_Toc256000122"/>
      <w:r>
        <w:rPr>
          <w:rFonts w:ascii="Cambria" w:eastAsia="Cambria" w:hAnsi="Cambria" w:cs="Cambria"/>
          <w:color w:val="365F91"/>
          <w:sz w:val="36"/>
        </w:rPr>
        <w:t>[Formato: [424000-L] Información financiera]</w:t>
      </w:r>
      <w:bookmarkEnd w:id="55"/>
      <w:bookmarkEnd w:id="54"/>
      <w:bookmarkEnd w:id="53"/>
      <w:bookmarkEnd w:id="52"/>
      <w:bookmarkEnd w:id="51"/>
    </w:p>
    <w:p>
      <w:pPr>
        <w:pStyle w:val="Heading1"/>
      </w:pPr>
    </w:p>
    <w:sdt>
      <w:sdtPr>
        <w:id w:val="102082435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[XBRL-00064]    Información financiera seleccionada</w:t>
          </w:r>
        </w:p>
      </w:sdtContent>
    </w:sdt>
    <w:p/>
    <w:p/>
    <w:p/>
    <w:p/>
    <w:p/>
    <w:sdt>
      <w:sdtPr>
        <w:id w:val="148045904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[XBRL-00065]    Deuda pública</w:t>
          </w:r>
        </w:p>
      </w:sdtContent>
    </w:sdt>
    <w:p/>
    <w:p/>
    <w:p/>
    <w:p/>
    <w:p/>
    <w:sdt>
      <w:sdtPr>
        <w:id w:val="183499167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[XBRL-00066]    Comentarios y análisis de la entidad federativa o municipio respecto de sus ingresos y egresos y de su estado de situación financiera</w:t>
          </w:r>
        </w:p>
      </w:sdtContent>
    </w:sdt>
    <w:p/>
    <w:p/>
    <w:p/>
    <w:p/>
    <w:p/>
    <w:sdt>
      <w:sdtPr>
        <w:id w:val="95044817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[XBRL-00067]    Resultados de la operación</w:t>
          </w:r>
        </w:p>
      </w:sdtContent>
    </w:sdt>
    <w:p/>
    <w:p/>
    <w:p/>
    <w:p/>
    <w:p/>
    <w:sdt>
      <w:sdtPr>
        <w:id w:val="111769305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[XBRL-00068]    Situación financiera, liquidez y recursos de capital</w:t>
          </w:r>
        </w:p>
      </w:sdtContent>
    </w:sdt>
    <w:p/>
    <w:p/>
    <w:p/>
    <w:p/>
    <w:p/>
    <w:sdt>
      <w:sdtPr>
        <w:id w:val="9758081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[XBRL-00069]    Control Interno</w:t>
          </w:r>
        </w:p>
      </w:sdtContent>
    </w:sdt>
    <w:p/>
    <w:p/>
    <w:p/>
    <w:p/>
    <w:p/>
    <w:sdt>
      <w:sdtPr>
        <w:id w:val="12765359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[XBRL-00070]    Estimaciones, provisiones o reservas contables críticas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56" w:name="_Toc256000070"/>
      <w:bookmarkStart w:id="57" w:name="_Toc256000086"/>
      <w:bookmarkStart w:id="58" w:name="_Toc256000104"/>
      <w:bookmarkStart w:id="59" w:name="_Toc256000124"/>
      <w:r>
        <w:rPr>
          <w:rFonts w:ascii="Cambria" w:eastAsia="Cambria" w:hAnsi="Cambria" w:cs="Cambria"/>
          <w:color w:val="365F91"/>
          <w:sz w:val="36"/>
        </w:rPr>
        <w:t>[Formato: [427000-L] Administración]</w:t>
      </w:r>
      <w:bookmarkEnd w:id="59"/>
      <w:bookmarkEnd w:id="58"/>
      <w:bookmarkEnd w:id="57"/>
      <w:bookmarkEnd w:id="56"/>
    </w:p>
    <w:p>
      <w:pPr>
        <w:pStyle w:val="Heading1"/>
      </w:pPr>
    </w:p>
    <w:sdt>
      <w:sdtPr>
        <w:id w:val="62517226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[XBRL-00071]    Auditores externos</w:t>
          </w:r>
        </w:p>
      </w:sdtContent>
    </w:sdt>
    <w:p/>
    <w:p/>
    <w:p/>
    <w:p/>
    <w:p/>
    <w:sdt>
      <w:sdtPr>
        <w:id w:val="32441610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[XBRL-00072]    Principales funcionarios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60" w:name="_Toc256000088"/>
      <w:bookmarkStart w:id="61" w:name="_Toc256000106"/>
      <w:bookmarkStart w:id="62" w:name="_Toc256000126"/>
      <w:r>
        <w:rPr>
          <w:rFonts w:ascii="Cambria" w:eastAsia="Cambria" w:hAnsi="Cambria" w:cs="Cambria"/>
          <w:color w:val="365F91"/>
          <w:sz w:val="36"/>
        </w:rPr>
        <w:t>[Formato: [430000-L] Activos subyacentes]</w:t>
      </w:r>
      <w:bookmarkEnd w:id="62"/>
      <w:bookmarkEnd w:id="61"/>
      <w:bookmarkEnd w:id="60"/>
    </w:p>
    <w:p>
      <w:pPr>
        <w:pStyle w:val="Heading1"/>
      </w:pPr>
    </w:p>
    <w:sdt>
      <w:sdtPr>
        <w:id w:val="41388537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[XBRL-00073]    Descripción de los activos subyacentes</w:t>
          </w:r>
        </w:p>
      </w:sdtContent>
    </w:sdt>
    <w:p/>
    <w:p/>
    <w:p/>
    <w:p/>
    <w:p/>
    <w:sdt>
      <w:sdtPr>
        <w:id w:val="81838629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[XBRL-00074]    Comportamiento histórico de los activos subyacentes</w:t>
          </w:r>
        </w:p>
      </w:sdtContent>
    </w:sdt>
    <w:p/>
    <w:p/>
    <w:p/>
    <w:p/>
    <w:p/>
    <w:sdt>
      <w:sdtPr>
        <w:id w:val="214343637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[XBRL-00075]    Ejercicios que cuantifiquen los posibles rendimientos o pérdidas que, bajo diferentes escenarios pudieran generarse</w:t>
          </w:r>
        </w:p>
      </w:sdtContent>
    </w:sdt>
    <w:p/>
    <w:p/>
    <w:p/>
    <w:p/>
    <w:p/>
    <w:sdt>
      <w:sdtPr>
        <w:id w:val="130357481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[XBRL-00076]    Otra información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63" w:name="_Toc256000108"/>
      <w:bookmarkStart w:id="64" w:name="_Toc256000128"/>
      <w:r>
        <w:rPr>
          <w:rFonts w:ascii="Cambria" w:eastAsia="Cambria" w:hAnsi="Cambria" w:cs="Cambria"/>
          <w:color w:val="365F91"/>
          <w:sz w:val="36"/>
        </w:rPr>
        <w:t>[Formato: [431000-L] Personas responsables]</w:t>
      </w:r>
      <w:bookmarkEnd w:id="64"/>
      <w:bookmarkEnd w:id="63"/>
    </w:p>
    <w:p>
      <w:pPr>
        <w:pStyle w:val="Heading1"/>
      </w:pPr>
    </w:p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65" w:name="_Toc256000130"/>
      <w:r>
        <w:rPr>
          <w:rFonts w:ascii="Cambria" w:eastAsia="Cambria" w:hAnsi="Cambria" w:cs="Cambria"/>
          <w:color w:val="365F91"/>
          <w:sz w:val="36"/>
        </w:rPr>
        <w:t>[Formato: [432000-L] Anexos]</w:t>
      </w:r>
      <w:bookmarkEnd w:id="65"/>
    </w:p>
    <w:p>
      <w:pPr>
        <w:pStyle w:val="Heading1"/>
      </w:pPr>
    </w:p>
    <w:p>
      <w:r>
        <w:br w:type="page"/>
      </w:r>
    </w:p>
    <w:sectPr>
      <w:pgSz w:w="12240" w:h="15840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20007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20007A87" w:usb1="80000000" w:usb2="00000008" w:usb3="00000000" w:csb0="000001F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1"/>
    <w:multiLevelType w:val="multilevel"/>
    <w:tmpl w:val="00000001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proofState w:grammar="clean"/>
  <w:stylePaneFormatFilter w:val="3F01"/>
  <w:defaultTabStop w:val="720"/>
  <w:noPunctuationKerning/>
  <w:characterSpacingControl w:val="doNotCompress"/>
  <w:compat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rsid w:val="00EF7B96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character" w:customStyle="1" w:styleId="PlaceholderText">
    <w:name w:val="Placeholder Text"/>
    <w:basedOn w:val="DefaultParagraphFont"/>
    <w:uiPriority w:val="99"/>
    <w:semiHidden/>
    <w:rPr>
      <w:color w:val="808080"/>
    </w:rPr>
  </w:style>
  <w:style w:type="paragraph" w:styleId="TOC1">
    <w:name w:val="toc 1"/>
    <w:basedOn w:val="Normal"/>
    <w:next w:val="Normal"/>
    <w:autoRedefine/>
    <w:rsid w:val="00805BCE"/>
  </w:style>
  <w:style w:type="character" w:styleId="Hyperlink">
    <w:name w:val="Hyperlink"/>
    <w:basedOn w:val="DefaultParagraphFont"/>
    <w:rsid w:val="00EF7B96"/>
    <w:rPr>
      <w:color w:val="0000FF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&#65279;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glossaryDocument" Target="glossary/document.xml" /><Relationship Id="rId5" Type="http://schemas.openxmlformats.org/officeDocument/2006/relationships/numbering" Target="numbering.xml" /><Relationship Id="rId6" Type="http://schemas.openxmlformats.org/officeDocument/2006/relationships/styles" Target="styles.xml" /></Relationships>
</file>

<file path=word/glossary/_rels/document.xml.rels>&#65279;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styles" Target="styles.xml" 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DefaultPlaceholder_226757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C1CFEA-DFA7-4681-A61A-69DCF4568631}"/>
      </w:docPartPr>
      <w:docPartBody>
        <w:p>
          <w:r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/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zoom w:percent="100"/>
  <w:defaultTabStop w:val="720"/>
  <w:noPunctuationKerning/>
  <w:characterSpacingControl w:val="doNotCompress"/>
  <w:compat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77B5"/>
  </w:style>
  <w:style w:type="character" w:default="1" w:styleId="DefaultParagraphFont">
    <w:name w:val="Default Paragraph Font"/>
    <w:uiPriority w:val="1"/>
    <w:semiHidden/>
    <w:unhideWhenUsed/>
  </w:style>
  <w:style w:type="character" w:customStyle="1" w:styleId="PlaceholderText">
    <w:name w:val="Placeholder Text"/>
    <w:basedOn w:val="DefaultParagraphFont"/>
    <w:uiPriority w:val="99"/>
    <w:semiHidden/>
    <w:rPr>
      <w:color w:val="808080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/>
</file>

<file path=docProps/app.xml><?xml version="1.0" encoding="utf-8"?>
<Properties xmlns="http://schemas.openxmlformats.org/officeDocument/2006/extended-properties" xmlns:vt="http://schemas.openxmlformats.org/officeDocument/2006/docPropsVTypes">
  <Template>Normal.dot</Template>
  <TotalTime>0</TotalTime>
  <Pages>20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2HSoftware v1.1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Plantilla de notas - IFRS ICS v1.1</dc:title>
  <dc:creator>2HSoftware</dc:creator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 Plantilla">
    <vt:lpwstr>v1.1</vt:lpwstr>
  </property>
</Properties>
</file>