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697382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AR N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"_Toc256000110"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[411000-AR] Datos generales -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[412000-N] Portada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[413000-N]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_Toc256000116 \h </w:instrText>
      </w:r>
      <w:r>
        <w:fldChar w:fldCharType="separate"/>
      </w:r>
      <w:r>
        <w:rPr>
          <w:rStyle w:val="Hyperlink"/>
        </w:rPr>
        <w:t>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[417000-N] La emisora]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_Toc256000118 \h </w:instrText>
      </w:r>
      <w:r>
        <w:fldChar w:fldCharType="separate"/>
      </w:r>
      <w:r>
        <w:rPr>
          <w:rStyle w:val="Hyperlink"/>
        </w:rPr>
        <w:t>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[424000-N] Información financiera]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_Toc256000120 \h </w:instrText>
      </w:r>
      <w:r>
        <w:fldChar w:fldCharType="separate"/>
      </w:r>
      <w:r>
        <w:rPr>
          <w:rStyle w:val="Hyperlink"/>
        </w:rPr>
        <w:t>10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[427000-N]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_Toc256000122 \h </w:instrText>
      </w:r>
      <w:r>
        <w:fldChar w:fldCharType="separate"/>
      </w:r>
      <w:r>
        <w:rPr>
          <w:rStyle w:val="Hyperlink"/>
        </w:rPr>
        <w:t>12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[429000-N] Mercado de capitales]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_Toc256000124 \h </w:instrText>
      </w:r>
      <w:r>
        <w:fldChar w:fldCharType="separate"/>
      </w:r>
      <w:r>
        <w:rPr>
          <w:rStyle w:val="Hyperlink"/>
        </w:rPr>
        <w:t>13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[430000-N] Activos subyacentes]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_Toc256000126 \h </w:instrText>
      </w:r>
      <w:r>
        <w:fldChar w:fldCharType="separate"/>
      </w:r>
      <w:r>
        <w:rPr>
          <w:rStyle w:val="Hyperlink"/>
        </w:rPr>
        <w:t>15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[431000-N]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_Toc256000128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[432000-N]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_Toc256000130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201915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1" w:name="_Toc256000004"/>
      <w:bookmarkStart w:id="12" w:name="_Toc256000008"/>
      <w:bookmarkStart w:id="13" w:name="_Toc256000014"/>
      <w:bookmarkStart w:id="14" w:name="_Toc256000022"/>
      <w:bookmarkStart w:id="15" w:name="_Toc256000032"/>
      <w:bookmarkStart w:id="16" w:name="_Toc256000044"/>
      <w:bookmarkStart w:id="17" w:name="_Toc256000058"/>
      <w:bookmarkStart w:id="18" w:name="_Toc256000074"/>
      <w:bookmarkStart w:id="19" w:name="_Toc256000092"/>
      <w:bookmarkStart w:id="20" w:name="_Toc256000112"/>
      <w:r>
        <w:rPr>
          <w:rFonts w:ascii="Cambria" w:eastAsia="Cambria" w:hAnsi="Cambria" w:cs="Cambria"/>
          <w:color w:val="365F91"/>
          <w:sz w:val="36"/>
        </w:rPr>
        <w:t>[Formato: [411000-AR] Datos generales - Reporte Anual]</w:t>
      </w:r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  <w:bookmarkEnd w:id="11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1" w:name="_Toc256000010"/>
      <w:bookmarkStart w:id="22" w:name="_Toc256000016"/>
      <w:bookmarkStart w:id="23" w:name="_Toc256000024"/>
      <w:bookmarkStart w:id="24" w:name="_Toc256000034"/>
      <w:bookmarkStart w:id="25" w:name="_Toc256000046"/>
      <w:bookmarkStart w:id="26" w:name="_Toc256000060"/>
      <w:bookmarkStart w:id="27" w:name="_Toc256000076"/>
      <w:bookmarkStart w:id="28" w:name="_Toc256000094"/>
      <w:bookmarkStart w:id="29" w:name="_Toc256000114"/>
      <w:r>
        <w:rPr>
          <w:rFonts w:ascii="Cambria" w:eastAsia="Cambria" w:hAnsi="Cambria" w:cs="Cambria"/>
          <w:color w:val="365F91"/>
          <w:sz w:val="36"/>
        </w:rPr>
        <w:t>[Formato: [412000-N] Portada reporte anual]</w:t>
      </w:r>
      <w:bookmarkEnd w:id="29"/>
      <w:bookmarkEnd w:id="28"/>
      <w:bookmarkEnd w:id="27"/>
      <w:bookmarkEnd w:id="26"/>
      <w:bookmarkEnd w:id="25"/>
      <w:bookmarkEnd w:id="24"/>
      <w:bookmarkEnd w:id="23"/>
      <w:bookmarkEnd w:id="22"/>
      <w:bookmarkEnd w:id="21"/>
    </w:p>
    <w:p>
      <w:pPr>
        <w:pStyle w:val="Heading1"/>
      </w:pPr>
    </w:p>
    <w:sdt>
      <w:sdtPr>
        <w:id w:val="803531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Logotipo de la emisora</w:t>
          </w:r>
        </w:p>
      </w:sdtContent>
    </w:sdt>
    <w:p/>
    <w:p/>
    <w:p/>
    <w:p/>
    <w:p/>
    <w:sdt>
      <w:sdtPr>
        <w:id w:val="4324530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Nombre de la emisora</w:t>
          </w:r>
        </w:p>
      </w:sdtContent>
    </w:sdt>
    <w:p/>
    <w:p/>
    <w:p/>
    <w:p/>
    <w:p/>
    <w:sdt>
      <w:sdtPr>
        <w:id w:val="15125593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Dirección de la emisora</w:t>
          </w:r>
        </w:p>
      </w:sdtContent>
    </w:sdt>
    <w:p/>
    <w:p/>
    <w:p/>
    <w:p/>
    <w:p/>
    <w:sdt>
      <w:sdtPr>
        <w:id w:val="1404137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Política que seguirá la emisora en la toma de decisiones relativas a cambios de control durante la vigencia de la emisión</w:t>
          </w:r>
        </w:p>
      </w:sdtContent>
    </w:sdt>
    <w:p/>
    <w:p/>
    <w:p/>
    <w:p/>
    <w:p/>
    <w:sdt>
      <w:sdtPr>
        <w:id w:val="15991680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Política que seguirá la emisora en la toma de decisiones respecto de estructuras corporativas</w:t>
          </w:r>
        </w:p>
      </w:sdtContent>
    </w:sdt>
    <w:p/>
    <w:p/>
    <w:p/>
    <w:p/>
    <w:p/>
    <w:sdt>
      <w:sdtPr>
        <w:id w:val="6067727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Política que seguirá la emisora en la toma de decisiones sobre la venta o constitución de gravámenes sobre activos esenciales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18"/>
      <w:bookmarkStart w:id="31" w:name="_Toc256000026"/>
      <w:bookmarkStart w:id="32" w:name="_Toc256000036"/>
      <w:bookmarkStart w:id="33" w:name="_Toc256000048"/>
      <w:bookmarkStart w:id="34" w:name="_Toc256000062"/>
      <w:bookmarkStart w:id="35" w:name="_Toc256000078"/>
      <w:bookmarkStart w:id="36" w:name="_Toc256000096"/>
      <w:bookmarkStart w:id="37" w:name="_Toc256000116"/>
      <w:r>
        <w:rPr>
          <w:rFonts w:ascii="Cambria" w:eastAsia="Cambria" w:hAnsi="Cambria" w:cs="Cambria"/>
          <w:color w:val="365F91"/>
          <w:sz w:val="36"/>
        </w:rPr>
        <w:t>[Formato: [413000-N] Información general]</w:t>
      </w:r>
      <w:bookmarkEnd w:id="37"/>
      <w:bookmarkEnd w:id="36"/>
      <w:bookmarkEnd w:id="35"/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6674645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Glosario de términos y definiciones</w:t>
          </w:r>
        </w:p>
      </w:sdtContent>
    </w:sdt>
    <w:p/>
    <w:p/>
    <w:p/>
    <w:p/>
    <w:p/>
    <w:sdt>
      <w:sdtPr>
        <w:id w:val="10217105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Resumen ejecutivo</w:t>
          </w:r>
        </w:p>
      </w:sdtContent>
    </w:sdt>
    <w:p/>
    <w:p/>
    <w:p/>
    <w:p/>
    <w:p/>
    <w:sdt>
      <w:sdtPr>
        <w:id w:val="18671853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Factores de riesgo</w:t>
          </w:r>
        </w:p>
      </w:sdtContent>
    </w:sdt>
    <w:p/>
    <w:p/>
    <w:p/>
    <w:p/>
    <w:p/>
    <w:sdt>
      <w:sdtPr>
        <w:id w:val="2373215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Otros Valores</w:t>
          </w:r>
        </w:p>
      </w:sdtContent>
    </w:sdt>
    <w:p/>
    <w:p/>
    <w:p/>
    <w:p/>
    <w:p/>
    <w:sdt>
      <w:sdtPr>
        <w:id w:val="2351500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Cambios significativos a los derechos de valores inscritos en el registro</w:t>
          </w:r>
        </w:p>
      </w:sdtContent>
    </w:sdt>
    <w:p/>
    <w:p/>
    <w:p/>
    <w:p/>
    <w:p/>
    <w:sdt>
      <w:sdtPr>
        <w:id w:val="6504760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Destino de los fondos, en su caso</w:t>
          </w:r>
        </w:p>
      </w:sdtContent>
    </w:sdt>
    <w:p/>
    <w:p/>
    <w:p/>
    <w:p/>
    <w:p/>
    <w:sdt>
      <w:sdtPr>
        <w:id w:val="11091527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8" w:name="_Toc256000028"/>
      <w:bookmarkStart w:id="39" w:name="_Toc256000038"/>
      <w:bookmarkStart w:id="40" w:name="_Toc256000050"/>
      <w:bookmarkStart w:id="41" w:name="_Toc256000064"/>
      <w:bookmarkStart w:id="42" w:name="_Toc256000080"/>
      <w:bookmarkStart w:id="43" w:name="_Toc256000098"/>
      <w:bookmarkStart w:id="44" w:name="_Toc256000118"/>
      <w:r>
        <w:rPr>
          <w:rFonts w:ascii="Cambria" w:eastAsia="Cambria" w:hAnsi="Cambria" w:cs="Cambria"/>
          <w:color w:val="365F91"/>
          <w:sz w:val="36"/>
        </w:rPr>
        <w:t>[Formato: [417000-N] La emisora]</w:t>
      </w:r>
      <w:bookmarkEnd w:id="44"/>
      <w:bookmarkEnd w:id="43"/>
      <w:bookmarkEnd w:id="42"/>
      <w:bookmarkEnd w:id="41"/>
      <w:bookmarkEnd w:id="40"/>
      <w:bookmarkEnd w:id="39"/>
      <w:bookmarkEnd w:id="38"/>
    </w:p>
    <w:p>
      <w:pPr>
        <w:pStyle w:val="Heading1"/>
      </w:pPr>
    </w:p>
    <w:sdt>
      <w:sdtPr>
        <w:id w:val="10567986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Historia y desarrollo de la emisora</w:t>
          </w:r>
        </w:p>
      </w:sdtContent>
    </w:sdt>
    <w:p/>
    <w:p/>
    <w:p/>
    <w:p/>
    <w:p/>
    <w:sdt>
      <w:sdtPr>
        <w:id w:val="11574597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Descripción del negocio</w:t>
          </w:r>
        </w:p>
      </w:sdtContent>
    </w:sdt>
    <w:p/>
    <w:p/>
    <w:p/>
    <w:p/>
    <w:p/>
    <w:sdt>
      <w:sdtPr>
        <w:id w:val="1432715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Actividad Principal</w:t>
          </w:r>
        </w:p>
      </w:sdtContent>
    </w:sdt>
    <w:p/>
    <w:p/>
    <w:p/>
    <w:p/>
    <w:p/>
    <w:sdt>
      <w:sdtPr>
        <w:id w:val="11657221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Canales de distribución</w:t>
          </w:r>
        </w:p>
      </w:sdtContent>
    </w:sdt>
    <w:p/>
    <w:p/>
    <w:p/>
    <w:p/>
    <w:p/>
    <w:sdt>
      <w:sdtPr>
        <w:id w:val="8121531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Patentes, licencias, marcas y otros contratos</w:t>
          </w:r>
        </w:p>
      </w:sdtContent>
    </w:sdt>
    <w:p/>
    <w:p/>
    <w:p/>
    <w:p/>
    <w:p/>
    <w:sdt>
      <w:sdtPr>
        <w:id w:val="4470989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Principales clientes</w:t>
          </w:r>
        </w:p>
      </w:sdtContent>
    </w:sdt>
    <w:p/>
    <w:p/>
    <w:p/>
    <w:p/>
    <w:p/>
    <w:sdt>
      <w:sdtPr>
        <w:id w:val="14650893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Legislación aplicable y situación tributaria</w:t>
          </w:r>
        </w:p>
      </w:sdtContent>
    </w:sdt>
    <w:p/>
    <w:p/>
    <w:p/>
    <w:p/>
    <w:p/>
    <w:sdt>
      <w:sdtPr>
        <w:id w:val="4423349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Recursos humanos</w:t>
          </w:r>
        </w:p>
      </w:sdtContent>
    </w:sdt>
    <w:p/>
    <w:p/>
    <w:p/>
    <w:p/>
    <w:p/>
    <w:sdt>
      <w:sdtPr>
        <w:id w:val="660235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Desempeño ambiental</w:t>
          </w:r>
        </w:p>
      </w:sdtContent>
    </w:sdt>
    <w:p/>
    <w:p/>
    <w:p/>
    <w:p/>
    <w:p/>
    <w:sdt>
      <w:sdtPr>
        <w:id w:val="5129658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Información de mercado</w:t>
          </w:r>
        </w:p>
      </w:sdtContent>
    </w:sdt>
    <w:p/>
    <w:p/>
    <w:p/>
    <w:p/>
    <w:p/>
    <w:sdt>
      <w:sdtPr>
        <w:id w:val="932552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Estructura corporativa</w:t>
          </w:r>
        </w:p>
      </w:sdtContent>
    </w:sdt>
    <w:p/>
    <w:p/>
    <w:p/>
    <w:p/>
    <w:p/>
    <w:sdt>
      <w:sdtPr>
        <w:id w:val="21095899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Descripción de los principales activos</w:t>
          </w:r>
        </w:p>
      </w:sdtContent>
    </w:sdt>
    <w:p/>
    <w:p/>
    <w:p/>
    <w:p/>
    <w:p/>
    <w:sdt>
      <w:sdtPr>
        <w:id w:val="15230039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Procesos judiciales, administrativos o arbitrales</w:t>
          </w:r>
        </w:p>
      </w:sdtContent>
    </w:sdt>
    <w:p/>
    <w:p/>
    <w:p/>
    <w:p/>
    <w:p/>
    <w:sdt>
      <w:sdtPr>
        <w:id w:val="15636781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Acciones representativas del capital social</w:t>
          </w:r>
        </w:p>
      </w:sdtContent>
    </w:sdt>
    <w:p/>
    <w:p/>
    <w:p/>
    <w:p/>
    <w:p/>
    <w:sdt>
      <w:sdtPr>
        <w:id w:val="11063014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Dividendos</w:t>
          </w:r>
        </w:p>
      </w:sdtContent>
    </w:sdt>
    <w:p/>
    <w:p/>
    <w:p/>
    <w:p/>
    <w:p/>
    <w:sdt>
      <w:sdtPr>
        <w:id w:val="11683320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Controles cambiarios y otras limitaciones que afecten a los tenedores de los títulos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40"/>
      <w:bookmarkStart w:id="46" w:name="_Toc256000052"/>
      <w:bookmarkStart w:id="47" w:name="_Toc256000066"/>
      <w:bookmarkStart w:id="48" w:name="_Toc256000082"/>
      <w:bookmarkStart w:id="49" w:name="_Toc256000100"/>
      <w:bookmarkStart w:id="50" w:name="_Toc256000120"/>
      <w:r>
        <w:rPr>
          <w:rFonts w:ascii="Cambria" w:eastAsia="Cambria" w:hAnsi="Cambria" w:cs="Cambria"/>
          <w:color w:val="365F91"/>
          <w:sz w:val="36"/>
        </w:rPr>
        <w:t>[Formato: [424000-N] Información financiera]</w:t>
      </w:r>
      <w:bookmarkEnd w:id="50"/>
      <w:bookmarkEnd w:id="49"/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446714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Descripción o explicación de la Información financiera seleccionada</w:t>
          </w:r>
        </w:p>
      </w:sdtContent>
    </w:sdt>
    <w:p/>
    <w:p/>
    <w:p/>
    <w:p/>
    <w:p/>
    <w:sdt>
      <w:sdtPr>
        <w:id w:val="9727058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Información financiera trimestral seleccionada</w:t>
          </w:r>
        </w:p>
      </w:sdtContent>
    </w:sdt>
    <w:p/>
    <w:p/>
    <w:p/>
    <w:p/>
    <w:p/>
    <w:sdt>
      <w:sdtPr>
        <w:id w:val="18784466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Información en caso de emisiones avaladas por subsidiarias de la emisora</w:t>
          </w:r>
        </w:p>
      </w:sdtContent>
    </w:sdt>
    <w:p/>
    <w:p/>
    <w:p/>
    <w:p/>
    <w:p/>
    <w:sdt>
      <w:sdtPr>
        <w:id w:val="6114210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Información financiera por línea de negocio, zona geográfica y ventas de exportación</w:t>
          </w:r>
        </w:p>
      </w:sdtContent>
    </w:sdt>
    <w:p/>
    <w:p/>
    <w:p/>
    <w:p/>
    <w:p/>
    <w:sdt>
      <w:sdtPr>
        <w:id w:val="13251119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Informe de créditos relevantes</w:t>
          </w:r>
        </w:p>
      </w:sdtContent>
    </w:sdt>
    <w:p/>
    <w:p/>
    <w:p/>
    <w:p/>
    <w:p/>
    <w:sdt>
      <w:sdtPr>
        <w:id w:val="6028759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Comentarios y análisis de la administración sobre los resultados de operación y situación financiera de la emisora</w:t>
          </w:r>
        </w:p>
      </w:sdtContent>
    </w:sdt>
    <w:p/>
    <w:p/>
    <w:p/>
    <w:p/>
    <w:p/>
    <w:sdt>
      <w:sdtPr>
        <w:id w:val="61297191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Resultados de la operación</w:t>
          </w:r>
        </w:p>
      </w:sdtContent>
    </w:sdt>
    <w:p/>
    <w:p/>
    <w:p/>
    <w:p/>
    <w:p/>
    <w:sdt>
      <w:sdtPr>
        <w:id w:val="21460343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Situación financiera, liquidez y recursos de capital</w:t>
          </w:r>
        </w:p>
      </w:sdtContent>
    </w:sdt>
    <w:p/>
    <w:p/>
    <w:p/>
    <w:p/>
    <w:p/>
    <w:sdt>
      <w:sdtPr>
        <w:id w:val="306155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Control Interno</w:t>
          </w:r>
        </w:p>
      </w:sdtContent>
    </w:sdt>
    <w:p/>
    <w:p/>
    <w:p/>
    <w:p/>
    <w:p/>
    <w:sdt>
      <w:sdtPr>
        <w:id w:val="19711327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Estimaciones, provisiones o reservas contables críticas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1" w:name="_Toc256000054"/>
      <w:bookmarkStart w:id="52" w:name="_Toc256000068"/>
      <w:bookmarkStart w:id="53" w:name="_Toc256000084"/>
      <w:bookmarkStart w:id="54" w:name="_Toc256000102"/>
      <w:bookmarkStart w:id="55" w:name="_Toc256000122"/>
      <w:r>
        <w:rPr>
          <w:rFonts w:ascii="Cambria" w:eastAsia="Cambria" w:hAnsi="Cambria" w:cs="Cambria"/>
          <w:color w:val="365F91"/>
          <w:sz w:val="36"/>
        </w:rPr>
        <w:t>[Formato: [427000-N] Administración]</w:t>
      </w:r>
      <w:bookmarkEnd w:id="55"/>
      <w:bookmarkEnd w:id="54"/>
      <w:bookmarkEnd w:id="53"/>
      <w:bookmarkEnd w:id="52"/>
      <w:bookmarkEnd w:id="51"/>
    </w:p>
    <w:p>
      <w:pPr>
        <w:pStyle w:val="Heading1"/>
      </w:pPr>
    </w:p>
    <w:sdt>
      <w:sdtPr>
        <w:id w:val="20573079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Auditores externos de la administración</w:t>
          </w:r>
        </w:p>
      </w:sdtContent>
    </w:sdt>
    <w:p/>
    <w:p/>
    <w:p/>
    <w:p/>
    <w:p/>
    <w:sdt>
      <w:sdtPr>
        <w:id w:val="18708186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Operaciones con personas relacionadas y conflictos de interés</w:t>
          </w:r>
        </w:p>
      </w:sdtContent>
    </w:sdt>
    <w:p/>
    <w:p/>
    <w:p/>
    <w:p/>
    <w:p/>
    <w:sdt>
      <w:sdtPr>
        <w:id w:val="5580960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Administradores y accionistas</w:t>
          </w:r>
        </w:p>
      </w:sdtContent>
    </w:sdt>
    <w:p/>
    <w:p/>
    <w:p/>
    <w:p/>
    <w:p/>
    <w:sdt>
      <w:sdtPr>
        <w:id w:val="9004628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Estatutos sociales y otros convenios</w:t>
          </w:r>
        </w:p>
      </w:sdtContent>
    </w:sdt>
    <w:p/>
    <w:p/>
    <w:p/>
    <w:p/>
    <w:p/>
    <w:sdt>
      <w:sdtPr>
        <w:id w:val="8637114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Otras prácticas de gobierno corporativo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6" w:name="_Toc256000070"/>
      <w:bookmarkStart w:id="57" w:name="_Toc256000086"/>
      <w:bookmarkStart w:id="58" w:name="_Toc256000104"/>
      <w:bookmarkStart w:id="59" w:name="_Toc256000124"/>
      <w:r>
        <w:rPr>
          <w:rFonts w:ascii="Cambria" w:eastAsia="Cambria" w:hAnsi="Cambria" w:cs="Cambria"/>
          <w:color w:val="365F91"/>
          <w:sz w:val="36"/>
        </w:rPr>
        <w:t>[Formato: [429000-N] Mercado de capitales]</w:t>
      </w:r>
      <w:bookmarkEnd w:id="59"/>
      <w:bookmarkEnd w:id="58"/>
      <w:bookmarkEnd w:id="57"/>
      <w:bookmarkEnd w:id="56"/>
    </w:p>
    <w:p>
      <w:pPr>
        <w:pStyle w:val="Heading1"/>
      </w:pPr>
    </w:p>
    <w:sdt>
      <w:sdtPr>
        <w:id w:val="66517234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Estructura accionaria</w:t>
          </w:r>
        </w:p>
      </w:sdtContent>
    </w:sdt>
    <w:p/>
    <w:p/>
    <w:p/>
    <w:p/>
    <w:p/>
    <w:sdt>
      <w:sdtPr>
        <w:id w:val="20074466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Comportamiento de la acción en el mercado de valores</w:t>
          </w:r>
        </w:p>
      </w:sdtContent>
    </w:sdt>
    <w:p/>
    <w:p/>
    <w:p/>
    <w:p/>
    <w:p/>
    <w:sdt>
      <w:sdtPr>
        <w:id w:val="48834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Formador de Mercado</w:t>
          </w:r>
        </w:p>
      </w:sdtContent>
    </w:sdt>
    <w:p/>
    <w:p/>
    <w:p/>
    <w:p/>
    <w:p/>
    <w:sdt>
      <w:sdtPr>
        <w:id w:val="3604049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Denominación de cada formador de mercado que haya prestado sus servicios durante el año inmediato anterior</w:t>
          </w:r>
        </w:p>
      </w:sdtContent>
    </w:sdt>
    <w:p/>
    <w:p/>
    <w:p/>
    <w:p/>
    <w:p/>
    <w:sdt>
      <w:sdtPr>
        <w:id w:val="11261496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Identificación de los valores con los que operó el formador de mercado</w:t>
          </w:r>
        </w:p>
      </w:sdtContent>
    </w:sdt>
    <w:p/>
    <w:p/>
    <w:p/>
    <w:p/>
    <w:p/>
    <w:sdt>
      <w:sdtPr>
        <w:id w:val="18166555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Inicio de vigencia, prórroga o renovación del contrato con el formador de mercado, duración del mismo y, en su caso, la terminación o rescisión de las contrataciones correspondientes</w:t>
          </w:r>
        </w:p>
      </w:sdtContent>
    </w:sdt>
    <w:p/>
    <w:p/>
    <w:p/>
    <w:p/>
    <w:p/>
    <w:sdt>
      <w:sdtPr>
        <w:id w:val="20873612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Descripción de los servicios que prestó el formador de mercado; así como los términos y condiciones generales de contratación, en el caso de los contratos vigentes</w:t>
          </w:r>
        </w:p>
      </w:sdtContent>
    </w:sdt>
    <w:p/>
    <w:p/>
    <w:p/>
    <w:p/>
    <w:p/>
    <w:sdt>
      <w:sdtPr>
        <w:id w:val="13860570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Descripción general del impacto de la actuación del formador de mercado en los niveles de operación y en los precios de los valores de la emisora con los que opere dicho intermediario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0" w:name="_Toc256000088"/>
      <w:bookmarkStart w:id="61" w:name="_Toc256000106"/>
      <w:bookmarkStart w:id="62" w:name="_Toc256000126"/>
      <w:r>
        <w:rPr>
          <w:rFonts w:ascii="Cambria" w:eastAsia="Cambria" w:hAnsi="Cambria" w:cs="Cambria"/>
          <w:color w:val="365F91"/>
          <w:sz w:val="36"/>
        </w:rPr>
        <w:t>[Formato: [430000-N] Activos subyacentes]</w:t>
      </w:r>
      <w:bookmarkEnd w:id="62"/>
      <w:bookmarkEnd w:id="61"/>
      <w:bookmarkEnd w:id="60"/>
    </w:p>
    <w:p>
      <w:pPr>
        <w:pStyle w:val="Heading1"/>
      </w:pPr>
    </w:p>
    <w:sdt>
      <w:sdtPr>
        <w:id w:val="14003014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Descripción de los activos subyacentes</w:t>
          </w:r>
        </w:p>
      </w:sdtContent>
    </w:sdt>
    <w:p/>
    <w:p/>
    <w:p/>
    <w:p/>
    <w:p/>
    <w:sdt>
      <w:sdtPr>
        <w:id w:val="18378299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Comportamiento histórico de los activos subyacentes</w:t>
          </w:r>
        </w:p>
      </w:sdtContent>
    </w:sdt>
    <w:p/>
    <w:p/>
    <w:p/>
    <w:p/>
    <w:p/>
    <w:sdt>
      <w:sdtPr>
        <w:id w:val="6676111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Ejercicios que cuantifiquen los posibles rendimientos o pérdidas que, bajo diferentes escenarios pudieran generarse</w:t>
          </w:r>
        </w:p>
      </w:sdtContent>
    </w:sdt>
    <w:p/>
    <w:p/>
    <w:p/>
    <w:p/>
    <w:p/>
    <w:sdt>
      <w:sdtPr>
        <w:id w:val="17303337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Otra información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108"/>
      <w:bookmarkStart w:id="64" w:name="_Toc256000128"/>
      <w:r>
        <w:rPr>
          <w:rFonts w:ascii="Cambria" w:eastAsia="Cambria" w:hAnsi="Cambria" w:cs="Cambria"/>
          <w:color w:val="365F91"/>
          <w:sz w:val="36"/>
        </w:rPr>
        <w:t>[Formato: [431000-N] Personas responsables]</w:t>
      </w:r>
      <w:bookmarkEnd w:id="64"/>
      <w:bookmarkEnd w:id="63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5" w:name="_Toc256000130"/>
      <w:r>
        <w:rPr>
          <w:rFonts w:ascii="Cambria" w:eastAsia="Cambria" w:hAnsi="Cambria" w:cs="Cambria"/>
          <w:color w:val="365F91"/>
          <w:sz w:val="36"/>
        </w:rPr>
        <w:t>[Formato: [432000-N] Anexos]</w:t>
      </w:r>
      <w:bookmarkEnd w:id="65"/>
    </w:p>
    <w:p>
      <w:pPr>
        <w:pStyle w:val="Heading1"/>
      </w:pPr>
    </w:p>
    <w:sdt>
      <w:sdtPr>
        <w:id w:val="2760856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Denominación social y nombre comercial o, en su caso, nombre de la persona física, así como una descripción del negocio en el que participe</w:t>
          </w:r>
        </w:p>
      </w:sdtContent>
    </w:sdt>
    <w:p/>
    <w:p/>
    <w:p/>
    <w:p/>
    <w:p/>
    <w:sdt>
      <w:sdtPr>
        <w:id w:val="8631553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Cualquier otra información que se considere relevante para evaluar el riesgo de crédito de que se
 trate del aval o garante</w:t>
          </w:r>
        </w:p>
      </w:sdtContent>
    </w:sdt>
    <w:p/>
    <w:p/>
    <w:p/>
    <w:p/>
    <w:p/>
    <w:sdt>
      <w:sdtPr>
        <w:id w:val="3571999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En caso de garantes especificar las diferencias relevantes con la IFRS</w:t>
          </w:r>
        </w:p>
      </w:sdtContent>
    </w:sdt>
    <w:p/>
    <w:p/>
    <w:p/>
    <w:p/>
    <w:p/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3022C-AF79-4272-A682-A8A0156667D6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17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