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58168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AR NBIS2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"_Toc256000090"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[411000-AR] Datos generales -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[412000-NBIS2] Portada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[413000-NBIS2]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_Toc256000096 \h </w:instrText>
      </w:r>
      <w:r>
        <w:fldChar w:fldCharType="separate"/>
      </w:r>
      <w:r>
        <w:rPr>
          <w:rStyle w:val="Hyperlink"/>
        </w:rPr>
        <w:t>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[416000-NBIS2] Estructura de la operación]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_Toc256000098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[420000-NBIS2] La fideicomitente]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_Toc256000100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[425000-NBIS2]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_Toc256000102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[426000-NBIS2] Información financiera de la fideicomitente]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_Toc256000104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[431000-NBIS2]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_Toc256000106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[432000-NBIS2]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_Toc256000108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16606777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04"/>
      <w:bookmarkStart w:id="11" w:name="_Toc256000008"/>
      <w:bookmarkStart w:id="12" w:name="_Toc256000014"/>
      <w:bookmarkStart w:id="13" w:name="_Toc256000022"/>
      <w:bookmarkStart w:id="14" w:name="_Toc256000032"/>
      <w:bookmarkStart w:id="15" w:name="_Toc256000044"/>
      <w:bookmarkStart w:id="16" w:name="_Toc256000058"/>
      <w:bookmarkStart w:id="17" w:name="_Toc256000074"/>
      <w:bookmarkStart w:id="18" w:name="_Toc256000092"/>
      <w:r>
        <w:rPr>
          <w:rFonts w:ascii="Cambria" w:eastAsia="Cambria" w:hAnsi="Cambria" w:cs="Cambria"/>
          <w:color w:val="365F91"/>
          <w:sz w:val="36"/>
        </w:rPr>
        <w:t>[Formato: [411000-AR] Datos generales - Reporte Anual]</w:t>
      </w:r>
      <w:bookmarkEnd w:id="18"/>
      <w:bookmarkEnd w:id="17"/>
      <w:bookmarkEnd w:id="16"/>
      <w:bookmarkEnd w:id="15"/>
      <w:bookmarkEnd w:id="14"/>
      <w:bookmarkEnd w:id="13"/>
      <w:bookmarkEnd w:id="12"/>
      <w:bookmarkEnd w:id="11"/>
      <w:bookmarkEnd w:id="10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9" w:name="_Toc256000010"/>
      <w:bookmarkStart w:id="20" w:name="_Toc256000016"/>
      <w:bookmarkStart w:id="21" w:name="_Toc256000024"/>
      <w:bookmarkStart w:id="22" w:name="_Toc256000034"/>
      <w:bookmarkStart w:id="23" w:name="_Toc256000046"/>
      <w:bookmarkStart w:id="24" w:name="_Toc256000060"/>
      <w:bookmarkStart w:id="25" w:name="_Toc256000076"/>
      <w:bookmarkStart w:id="26" w:name="_Toc256000094"/>
      <w:r>
        <w:rPr>
          <w:rFonts w:ascii="Cambria" w:eastAsia="Cambria" w:hAnsi="Cambria" w:cs="Cambria"/>
          <w:color w:val="365F91"/>
          <w:sz w:val="36"/>
        </w:rPr>
        <w:t>[Formato: [412000-NBIS2] Portada reporte anual]</w:t>
      </w:r>
      <w:bookmarkEnd w:id="26"/>
      <w:bookmarkEnd w:id="25"/>
      <w:bookmarkEnd w:id="24"/>
      <w:bookmarkEnd w:id="23"/>
      <w:bookmarkEnd w:id="22"/>
      <w:bookmarkEnd w:id="21"/>
      <w:bookmarkEnd w:id="20"/>
      <w:bookmarkEnd w:id="19"/>
    </w:p>
    <w:p>
      <w:pPr>
        <w:pStyle w:val="Heading1"/>
      </w:pPr>
    </w:p>
    <w:sdt>
      <w:sdtPr>
        <w:id w:val="4293152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Datos relativos al contrato de fideicomiso</w:t>
          </w:r>
        </w:p>
      </w:sdtContent>
    </w:sdt>
    <w:p/>
    <w:p/>
    <w:p/>
    <w:p/>
    <w:p/>
    <w:sdt>
      <w:sdtPr>
        <w:id w:val="7482332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institución fiduciaria</w:t>
          </w:r>
        </w:p>
      </w:sdtContent>
    </w:sdt>
    <w:p/>
    <w:p/>
    <w:p/>
    <w:p/>
    <w:p/>
    <w:sdt>
      <w:sdtPr>
        <w:id w:val="5002461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Fideicomitente</w:t>
          </w:r>
        </w:p>
      </w:sdtContent>
    </w:sdt>
    <w:p/>
    <w:p/>
    <w:p/>
    <w:p/>
    <w:p/>
    <w:sdt>
      <w:sdtPr>
        <w:id w:val="20896827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Administrador del patrimonio del fideicomiso</w:t>
          </w:r>
        </w:p>
      </w:sdtContent>
    </w:sdt>
    <w:p/>
    <w:p/>
    <w:p/>
    <w:p/>
    <w:p/>
    <w:sdt>
      <w:sdtPr>
        <w:id w:val="11753091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Resumen de las características más relevantes de los activos, derechos, proyectos o bienes que integran el patrimonio del fideicomiso</w:t>
          </w:r>
        </w:p>
      </w:sdtContent>
    </w:sdt>
    <w:p/>
    <w:p/>
    <w:p/>
    <w:p/>
    <w:p/>
    <w:sdt>
      <w:sdtPr>
        <w:id w:val="118961270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Indicación de que no existe obligación de pago de principal ni de intereses</w:t>
          </w:r>
        </w:p>
      </w:sdtContent>
    </w:sdt>
    <w:p/>
    <w:p/>
    <w:p/>
    <w:p/>
    <w:p/>
    <w:sdt>
      <w:sdtPr>
        <w:id w:val="7150928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Derechos que confieren los títulos fiduciarios y demás valores emitidos al amparo de un fideicomiso</w:t>
          </w:r>
        </w:p>
      </w:sdtContent>
    </w:sdt>
    <w:p/>
    <w:p/>
    <w:p/>
    <w:p/>
    <w:p/>
    <w:sdt>
      <w:sdtPr>
        <w:id w:val="8583415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Subordinación de los títulos, en su caso</w:t>
          </w:r>
        </w:p>
      </w:sdtContent>
    </w:sdt>
    <w:p/>
    <w:p/>
    <w:p/>
    <w:p/>
    <w:p/>
    <w:sdt>
      <w:sdtPr>
        <w:id w:val="12008262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Lugar y forma de pago</w:t>
          </w:r>
        </w:p>
      </w:sdtContent>
    </w:sdt>
    <w:p/>
    <w:p/>
    <w:p/>
    <w:p/>
    <w:p/>
    <w:sdt>
      <w:sdtPr>
        <w:id w:val="9240858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Denominación del representante común de los tenedores de los títulos</w:t>
          </w:r>
        </w:p>
      </w:sdtContent>
    </w:sdt>
    <w:p/>
    <w:p/>
    <w:p/>
    <w:p/>
    <w:p/>
    <w:sdt>
      <w:sdtPr>
        <w:id w:val="7406802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En su caso, dictamen valuatorio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7" w:name="_Toc256000018"/>
      <w:bookmarkStart w:id="28" w:name="_Toc256000026"/>
      <w:bookmarkStart w:id="29" w:name="_Toc256000036"/>
      <w:bookmarkStart w:id="30" w:name="_Toc256000048"/>
      <w:bookmarkStart w:id="31" w:name="_Toc256000062"/>
      <w:bookmarkStart w:id="32" w:name="_Toc256000078"/>
      <w:bookmarkStart w:id="33" w:name="_Toc256000096"/>
      <w:r>
        <w:rPr>
          <w:rFonts w:ascii="Cambria" w:eastAsia="Cambria" w:hAnsi="Cambria" w:cs="Cambria"/>
          <w:color w:val="365F91"/>
          <w:sz w:val="36"/>
        </w:rPr>
        <w:t>[Formato: [413000-NBIS2] Información general]</w:t>
      </w:r>
      <w:bookmarkEnd w:id="33"/>
      <w:bookmarkEnd w:id="32"/>
      <w:bookmarkEnd w:id="31"/>
      <w:bookmarkEnd w:id="30"/>
      <w:bookmarkEnd w:id="29"/>
      <w:bookmarkEnd w:id="28"/>
      <w:bookmarkEnd w:id="27"/>
    </w:p>
    <w:p>
      <w:pPr>
        <w:pStyle w:val="Heading1"/>
      </w:pPr>
    </w:p>
    <w:sdt>
      <w:sdtPr>
        <w:id w:val="6773195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Glosario de términos y definiciones</w:t>
          </w:r>
        </w:p>
      </w:sdtContent>
    </w:sdt>
    <w:p/>
    <w:p/>
    <w:p/>
    <w:p/>
    <w:p/>
    <w:sdt>
      <w:sdtPr>
        <w:id w:val="979421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Resumen ejecutivo</w:t>
          </w:r>
        </w:p>
      </w:sdtContent>
    </w:sdt>
    <w:p/>
    <w:p/>
    <w:p/>
    <w:p/>
    <w:p/>
    <w:sdt>
      <w:sdtPr>
        <w:id w:val="16994267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Factores de riesgo</w:t>
          </w:r>
        </w:p>
      </w:sdtContent>
    </w:sdt>
    <w:p/>
    <w:p/>
    <w:p/>
    <w:p/>
    <w:p/>
    <w:sdt>
      <w:sdtPr>
        <w:id w:val="5886673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Otros Valores</w:t>
          </w:r>
        </w:p>
      </w:sdtContent>
    </w:sdt>
    <w:p/>
    <w:p/>
    <w:p/>
    <w:p/>
    <w:p/>
    <w:sdt>
      <w:sdtPr>
        <w:id w:val="3468461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Cambios significativos a los derechos de valores inscritos en el registro</w:t>
          </w:r>
        </w:p>
      </w:sdtContent>
    </w:sdt>
    <w:p/>
    <w:p/>
    <w:p/>
    <w:p/>
    <w:p/>
    <w:sdt>
      <w:sdtPr>
        <w:id w:val="17769665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Destino de los fondos, en su caso</w:t>
          </w:r>
        </w:p>
      </w:sdtContent>
    </w:sdt>
    <w:p/>
    <w:p/>
    <w:p/>
    <w:p/>
    <w:p/>
    <w:sdt>
      <w:sdtPr>
        <w:id w:val="9803796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4" w:name="_Toc256000028"/>
      <w:bookmarkStart w:id="35" w:name="_Toc256000038"/>
      <w:bookmarkStart w:id="36" w:name="_Toc256000050"/>
      <w:bookmarkStart w:id="37" w:name="_Toc256000064"/>
      <w:bookmarkStart w:id="38" w:name="_Toc256000080"/>
      <w:bookmarkStart w:id="39" w:name="_Toc256000098"/>
      <w:r>
        <w:rPr>
          <w:rFonts w:ascii="Cambria" w:eastAsia="Cambria" w:hAnsi="Cambria" w:cs="Cambria"/>
          <w:color w:val="365F91"/>
          <w:sz w:val="36"/>
        </w:rPr>
        <w:t>[Formato: [416000-NBIS2] Estructura de la operación]</w:t>
      </w:r>
      <w:bookmarkEnd w:id="39"/>
      <w:bookmarkEnd w:id="38"/>
      <w:bookmarkEnd w:id="37"/>
      <w:bookmarkEnd w:id="36"/>
      <w:bookmarkEnd w:id="35"/>
      <w:bookmarkEnd w:id="34"/>
    </w:p>
    <w:p>
      <w:pPr>
        <w:pStyle w:val="Heading1"/>
      </w:pPr>
    </w:p>
    <w:sdt>
      <w:sdtPr>
        <w:id w:val="312532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Patrimonio del fideicomiso</w:t>
          </w:r>
        </w:p>
      </w:sdtContent>
    </w:sdt>
    <w:p/>
    <w:p/>
    <w:p/>
    <w:p/>
    <w:p/>
    <w:sdt>
      <w:sdtPr>
        <w:id w:val="198865645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Evolución de los activos fideicomitidos, incluyendo sus ingresos</w:t>
          </w:r>
        </w:p>
      </w:sdtContent>
    </w:sdt>
    <w:p/>
    <w:p/>
    <w:p/>
    <w:p/>
    <w:p/>
    <w:sdt>
      <w:sdtPr>
        <w:id w:val="15282121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Desempeño de los activos</w:t>
          </w:r>
        </w:p>
      </w:sdtContent>
    </w:sdt>
    <w:p/>
    <w:p/>
    <w:p/>
    <w:p/>
    <w:p/>
    <w:sdt>
      <w:sdtPr>
        <w:id w:val="6428800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Composición de la totalidad de los activos al cierre del periodo</w:t>
          </w:r>
        </w:p>
      </w:sdtContent>
    </w:sdt>
    <w:p/>
    <w:p/>
    <w:p/>
    <w:p/>
    <w:p/>
    <w:sdt>
      <w:sdtPr>
        <w:id w:val="19287856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Variación en saldo y en número de activos</w:t>
          </w:r>
        </w:p>
      </w:sdtContent>
    </w:sdt>
    <w:p/>
    <w:p/>
    <w:p/>
    <w:p/>
    <w:p/>
    <w:sdt>
      <w:sdtPr>
        <w:id w:val="19762286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Estado de los activos por grado o nivel de cumplimiento</w:t>
          </w:r>
        </w:p>
      </w:sdtContent>
    </w:sdt>
    <w:p/>
    <w:p/>
    <w:p/>
    <w:p/>
    <w:p/>
    <w:sdt>
      <w:sdtPr>
        <w:id w:val="10704679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Garantías sobre los activos</w:t>
          </w:r>
        </w:p>
      </w:sdtContent>
    </w:sdt>
    <w:p/>
    <w:p/>
    <w:p/>
    <w:p/>
    <w:p/>
    <w:sdt>
      <w:sdtPr>
        <w:id w:val="2759682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Cargas y limitaciones</w:t>
          </w:r>
        </w:p>
      </w:sdtContent>
    </w:sdt>
    <w:p/>
    <w:p/>
    <w:p/>
    <w:p/>
    <w:p/>
    <w:sdt>
      <w:sdtPr>
        <w:id w:val="78667144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Desempeño de los valores emitidos</w:t>
          </w:r>
        </w:p>
      </w:sdtContent>
    </w:sdt>
    <w:p/>
    <w:p/>
    <w:p/>
    <w:p/>
    <w:p/>
    <w:sdt>
      <w:sdtPr>
        <w:id w:val="12915775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Contratos y acuerdos</w:t>
          </w:r>
        </w:p>
      </w:sdtContent>
    </w:sdt>
    <w:p/>
    <w:p/>
    <w:p/>
    <w:p/>
    <w:p/>
    <w:sdt>
      <w:sdtPr>
        <w:id w:val="8268164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Plan de negocios, análisis y calendario de inversiones y, en su caso, desinversiones</w:t>
          </w:r>
        </w:p>
      </w:sdtContent>
    </w:sdt>
    <w:p/>
    <w:p/>
    <w:p/>
    <w:p/>
    <w:p/>
    <w:sdt>
      <w:sdtPr>
        <w:id w:val="165793970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Valuación</w:t>
          </w:r>
        </w:p>
      </w:sdtContent>
    </w:sdt>
    <w:p/>
    <w:p/>
    <w:p/>
    <w:p/>
    <w:p/>
    <w:sdt>
      <w:sdtPr>
        <w:id w:val="11793415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Comisiones, costos y gastos del administrador del patrimonio del fideicomiso o a quien se le encomienden dichas funciones</w:t>
          </w:r>
        </w:p>
      </w:sdtContent>
    </w:sdt>
    <w:p/>
    <w:p/>
    <w:p/>
    <w:p/>
    <w:p/>
    <w:sdt>
      <w:sdtPr>
        <w:id w:val="12050969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Información relevante del periodo</w:t>
          </w:r>
        </w:p>
      </w:sdtContent>
    </w:sdt>
    <w:p/>
    <w:p/>
    <w:p/>
    <w:p/>
    <w:p/>
    <w:sdt>
      <w:sdtPr>
        <w:id w:val="6576440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Otros terceros obligados con el fideicomiso o los tenedores de los valores</w:t>
          </w:r>
        </w:p>
      </w:sdtContent>
    </w:sdt>
    <w:p/>
    <w:p/>
    <w:p/>
    <w:p/>
    <w:p/>
    <w:sdt>
      <w:sdtPr>
        <w:id w:val="158615519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Asambleas generales de tenedores</w:t>
          </w:r>
        </w:p>
      </w:sdtContent>
    </w:sdt>
    <w:p/>
    <w:p/>
    <w:p/>
    <w:p/>
    <w:p/>
    <w:sdt>
      <w:sdtPr>
        <w:id w:val="11673606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Auditores externos de la estructura de la operación</w:t>
          </w:r>
        </w:p>
      </w:sdtContent>
    </w:sdt>
    <w:p/>
    <w:p/>
    <w:p/>
    <w:p/>
    <w:p/>
    <w:sdt>
      <w:sdtPr>
        <w:id w:val="19070885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Operaciones con personas relacionadas y conflictos de interés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0" w:name="_Toc256000040"/>
      <w:bookmarkStart w:id="41" w:name="_Toc256000052"/>
      <w:bookmarkStart w:id="42" w:name="_Toc256000066"/>
      <w:bookmarkStart w:id="43" w:name="_Toc256000082"/>
      <w:bookmarkStart w:id="44" w:name="_Toc256000100"/>
      <w:r>
        <w:rPr>
          <w:rFonts w:ascii="Cambria" w:eastAsia="Cambria" w:hAnsi="Cambria" w:cs="Cambria"/>
          <w:color w:val="365F91"/>
          <w:sz w:val="36"/>
        </w:rPr>
        <w:t>[Formato: [420000-NBIS2] La fideicomitente]</w:t>
      </w:r>
      <w:bookmarkEnd w:id="44"/>
      <w:bookmarkEnd w:id="43"/>
      <w:bookmarkEnd w:id="42"/>
      <w:bookmarkEnd w:id="41"/>
      <w:bookmarkEnd w:id="40"/>
    </w:p>
    <w:p>
      <w:pPr>
        <w:pStyle w:val="Heading1"/>
      </w:pPr>
    </w:p>
    <w:sdt>
      <w:sdtPr>
        <w:id w:val="6167301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Historia y desarrollo de la fideicomitente</w:t>
          </w:r>
        </w:p>
      </w:sdtContent>
    </w:sdt>
    <w:p/>
    <w:p/>
    <w:p/>
    <w:p/>
    <w:p/>
    <w:sdt>
      <w:sdtPr>
        <w:id w:val="12340093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Actividad Principal</w:t>
          </w:r>
        </w:p>
      </w:sdtContent>
    </w:sdt>
    <w:p/>
    <w:p/>
    <w:p/>
    <w:p/>
    <w:p/>
    <w:sdt>
      <w:sdtPr>
        <w:id w:val="12200575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Canales de distribución</w:t>
          </w:r>
        </w:p>
      </w:sdtContent>
    </w:sdt>
    <w:p/>
    <w:p/>
    <w:p/>
    <w:p/>
    <w:p/>
    <w:sdt>
      <w:sdtPr>
        <w:id w:val="5662025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Patentes, licencias, marcas y otros contratos</w:t>
          </w:r>
        </w:p>
      </w:sdtContent>
    </w:sdt>
    <w:p/>
    <w:p/>
    <w:p/>
    <w:p/>
    <w:p/>
    <w:sdt>
      <w:sdtPr>
        <w:id w:val="2569583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Principales clientes</w:t>
          </w:r>
        </w:p>
      </w:sdtContent>
    </w:sdt>
    <w:p/>
    <w:p/>
    <w:p/>
    <w:p/>
    <w:p/>
    <w:sdt>
      <w:sdtPr>
        <w:id w:val="19526266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Legislación aplicable y situación tributaria</w:t>
          </w:r>
        </w:p>
      </w:sdtContent>
    </w:sdt>
    <w:p/>
    <w:p/>
    <w:p/>
    <w:p/>
    <w:p/>
    <w:sdt>
      <w:sdtPr>
        <w:id w:val="9970243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Recursos humanos</w:t>
          </w:r>
        </w:p>
      </w:sdtContent>
    </w:sdt>
    <w:p/>
    <w:p/>
    <w:p/>
    <w:p/>
    <w:p/>
    <w:sdt>
      <w:sdtPr>
        <w:id w:val="9974816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Desempeño ambiental</w:t>
          </w:r>
        </w:p>
      </w:sdtContent>
    </w:sdt>
    <w:p/>
    <w:p/>
    <w:p/>
    <w:p/>
    <w:p/>
    <w:sdt>
      <w:sdtPr>
        <w:id w:val="13251224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Información de mercado</w:t>
          </w:r>
        </w:p>
      </w:sdtContent>
    </w:sdt>
    <w:p/>
    <w:p/>
    <w:p/>
    <w:p/>
    <w:p/>
    <w:sdt>
      <w:sdtPr>
        <w:id w:val="1992289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Estructura corporativa</w:t>
          </w:r>
        </w:p>
      </w:sdtContent>
    </w:sdt>
    <w:p/>
    <w:p/>
    <w:p/>
    <w:p/>
    <w:p/>
    <w:sdt>
      <w:sdtPr>
        <w:id w:val="17480252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Descripción de los principales activos</w:t>
          </w:r>
        </w:p>
      </w:sdtContent>
    </w:sdt>
    <w:p/>
    <w:p/>
    <w:p/>
    <w:p/>
    <w:p/>
    <w:sdt>
      <w:sdtPr>
        <w:id w:val="1229837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Procesos judiciales, administrativos o arbitrales</w:t>
          </w:r>
        </w:p>
      </w:sdtContent>
    </w:sdt>
    <w:p/>
    <w:p/>
    <w:p/>
    <w:p/>
    <w:p/>
    <w:sdt>
      <w:sdtPr>
        <w:id w:val="7757519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Acciones representativas del capital social</w:t>
          </w:r>
        </w:p>
      </w:sdtContent>
    </w:sdt>
    <w:p/>
    <w:p/>
    <w:p/>
    <w:p/>
    <w:p/>
    <w:sdt>
      <w:sdtPr>
        <w:id w:val="16728072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Dividendos</w:t>
          </w:r>
        </w:p>
      </w:sdtContent>
    </w:sdt>
    <w:p/>
    <w:p/>
    <w:p/>
    <w:p/>
    <w:p/>
    <w:sdt>
      <w:sdtPr>
        <w:id w:val="15118868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Reestructuraciones societarias, en su caso.</w:t>
          </w:r>
        </w:p>
      </w:sdtContent>
    </w:sdt>
    <w:p/>
    <w:p/>
    <w:p/>
    <w:p/>
    <w:p/>
    <w:sdt>
      <w:sdtPr>
        <w:id w:val="19948506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Administradores y accionistas</w:t>
          </w:r>
        </w:p>
      </w:sdtContent>
    </w:sdt>
    <w:p/>
    <w:p/>
    <w:p/>
    <w:p/>
    <w:p/>
    <w:sdt>
      <w:sdtPr>
        <w:id w:val="2797776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Estatutos sociales y otros convenios</w:t>
          </w:r>
        </w:p>
      </w:sdtContent>
    </w:sdt>
    <w:p/>
    <w:p/>
    <w:p/>
    <w:p/>
    <w:p/>
    <w:sdt>
      <w:sdtPr>
        <w:id w:val="11393529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Auditores externos de la fideicomitente</w:t>
          </w:r>
        </w:p>
      </w:sdtContent>
    </w:sdt>
    <w:p/>
    <w:p/>
    <w:p/>
    <w:p/>
    <w:p/>
    <w:sdt>
      <w:sdtPr>
        <w:id w:val="15456174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Operaciones con personas relacionadas y conflictos de interés de la fideicomitente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54"/>
      <w:bookmarkStart w:id="46" w:name="_Toc256000068"/>
      <w:bookmarkStart w:id="47" w:name="_Toc256000084"/>
      <w:bookmarkStart w:id="48" w:name="_Toc256000102"/>
      <w:r>
        <w:rPr>
          <w:rFonts w:ascii="Cambria" w:eastAsia="Cambria" w:hAnsi="Cambria" w:cs="Cambria"/>
          <w:color w:val="365F91"/>
          <w:sz w:val="36"/>
        </w:rPr>
        <w:t>[Formato: [425000-NBIS2] Información financiera del fideicomiso]</w:t>
      </w:r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3773891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Información financiera seleccionada del fideicomiso</w:t>
          </w:r>
        </w:p>
      </w:sdtContent>
    </w:sdt>
    <w:p/>
    <w:p/>
    <w:p/>
    <w:p/>
    <w:p/>
    <w:sdt>
      <w:sdtPr>
        <w:id w:val="6043260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Balance y resultados del fideicomiso</w:t>
          </w:r>
        </w:p>
      </w:sdtContent>
    </w:sdt>
    <w:p/>
    <w:p/>
    <w:p/>
    <w:p/>
    <w:p/>
    <w:sdt>
      <w:sdtPr>
        <w:id w:val="9931185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Origen y aplicación de recursos</w:t>
          </w:r>
        </w:p>
      </w:sdtContent>
    </w:sdt>
    <w:p/>
    <w:p/>
    <w:p/>
    <w:p/>
    <w:p/>
    <w:sdt>
      <w:sdtPr>
        <w:id w:val="3323069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Movimientos en las cuentas para el manejo de efectivo</w:t>
          </w:r>
        </w:p>
      </w:sdtContent>
    </w:sdt>
    <w:p/>
    <w:p/>
    <w:p/>
    <w:p/>
    <w:p/>
    <w:sdt>
      <w:sdtPr>
        <w:id w:val="5268934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Índices y razones financieras</w:t>
          </w:r>
        </w:p>
      </w:sdtContent>
    </w:sdt>
    <w:p/>
    <w:p/>
    <w:p/>
    <w:p/>
    <w:p/>
    <w:sdt>
      <w:sdtPr>
        <w:id w:val="7641218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Información financiera seleccionada de las sociedades respecto de las cuales el fideicomiso invierta o adquiera títulos representativos de su capital social, que no se consoliden en la información financiera del fideicomiso</w:t>
          </w:r>
        </w:p>
      </w:sdtContent>
    </w:sdt>
    <w:p/>
    <w:p/>
    <w:p/>
    <w:p/>
    <w:p/>
    <w:sdt>
      <w:sdtPr>
        <w:id w:val="9137054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Informe de créditos relevantes del fideicomiso</w:t>
          </w:r>
        </w:p>
      </w:sdtContent>
    </w:sdt>
    <w:p/>
    <w:p/>
    <w:p/>
    <w:p/>
    <w:p/>
    <w:sdt>
      <w:sdtPr>
        <w:id w:val="9384034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Comentarios y análisis de la administración sobre los resultados de operación (fideicomiso)</w:t>
          </w:r>
        </w:p>
      </w:sdtContent>
    </w:sdt>
    <w:p/>
    <w:p/>
    <w:p/>
    <w:p/>
    <w:p/>
    <w:sdt>
      <w:sdtPr>
        <w:id w:val="8588204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Resultados de la operación del fideicomiso</w:t>
          </w:r>
        </w:p>
      </w:sdtContent>
    </w:sdt>
    <w:p/>
    <w:p/>
    <w:p/>
    <w:p/>
    <w:p/>
    <w:sdt>
      <w:sdtPr>
        <w:id w:val="10076700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Situación financiera, liquidez y recursos de capital del fideicomiso</w:t>
          </w:r>
        </w:p>
      </w:sdtContent>
    </w:sdt>
    <w:p/>
    <w:p/>
    <w:p/>
    <w:p/>
    <w:p/>
    <w:sdt>
      <w:sdtPr>
        <w:id w:val="11311858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Control Interno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9" w:name="_Toc256000070"/>
      <w:bookmarkStart w:id="50" w:name="_Toc256000086"/>
      <w:bookmarkStart w:id="51" w:name="_Toc256000104"/>
      <w:r>
        <w:rPr>
          <w:rFonts w:ascii="Cambria" w:eastAsia="Cambria" w:hAnsi="Cambria" w:cs="Cambria"/>
          <w:color w:val="365F91"/>
          <w:sz w:val="36"/>
        </w:rPr>
        <w:t>[Formato: [426000-NBIS2] Información financiera de la fideicomitente]</w:t>
      </w:r>
      <w:bookmarkEnd w:id="51"/>
      <w:bookmarkEnd w:id="50"/>
      <w:bookmarkEnd w:id="49"/>
    </w:p>
    <w:p>
      <w:pPr>
        <w:pStyle w:val="Heading1"/>
      </w:pPr>
    </w:p>
    <w:sdt>
      <w:sdtPr>
        <w:id w:val="17408403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Información financiera seleccionada de la fideicomitente</w:t>
          </w:r>
        </w:p>
      </w:sdtContent>
    </w:sdt>
    <w:p/>
    <w:p/>
    <w:p/>
    <w:p/>
    <w:p/>
    <w:sdt>
      <w:sdtPr>
        <w:id w:val="15404237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Comentarios y análisis de la administración sobre los resultados de operación y situación financiera del fideicomitente</w:t>
          </w:r>
        </w:p>
      </w:sdtContent>
    </w:sdt>
    <w:p/>
    <w:p/>
    <w:p/>
    <w:p/>
    <w:p/>
    <w:sdt>
      <w:sdtPr>
        <w:id w:val="10887743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Resultados de la operación de la fideicomitente</w:t>
          </w:r>
        </w:p>
      </w:sdtContent>
    </w:sdt>
    <w:p/>
    <w:p/>
    <w:p/>
    <w:p/>
    <w:p/>
    <w:sdt>
      <w:sdtPr>
        <w:id w:val="18168958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Situación financiera, liquidez y recursos de capital de la fideicomitente</w:t>
          </w:r>
        </w:p>
      </w:sdtContent>
    </w:sdt>
    <w:p/>
    <w:p/>
    <w:p/>
    <w:p/>
    <w:p/>
    <w:sdt>
      <w:sdtPr>
        <w:id w:val="9651292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Control interno de la fideicomitente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2" w:name="_Toc256000088"/>
      <w:bookmarkStart w:id="53" w:name="_Toc256000106"/>
      <w:r>
        <w:rPr>
          <w:rFonts w:ascii="Cambria" w:eastAsia="Cambria" w:hAnsi="Cambria" w:cs="Cambria"/>
          <w:color w:val="365F91"/>
          <w:sz w:val="36"/>
        </w:rPr>
        <w:t>[Formato: [431000-NBIS2] Personas responsables]</w:t>
      </w:r>
      <w:bookmarkEnd w:id="53"/>
      <w:bookmarkEnd w:id="5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4" w:name="_Toc256000108"/>
      <w:r>
        <w:rPr>
          <w:rFonts w:ascii="Cambria" w:eastAsia="Cambria" w:hAnsi="Cambria" w:cs="Cambria"/>
          <w:color w:val="365F91"/>
          <w:sz w:val="36"/>
        </w:rPr>
        <w:t>[Formato: [432000-NBIS2] Anexos]</w:t>
      </w:r>
      <w:bookmarkEnd w:id="5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5E8A36-9AAD-418C-8036-C17A9FFA6C64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18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