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97560371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AR NBIS3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"_Toc256000090"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[411000-AR-NBIS3] Datos generales -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[412000-NBIS3] Portada reporte anual]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[413000-NBIS3]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_Toc256000096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[421000-NBIS3] 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_Toc256000098 \h </w:instrText>
      </w:r>
      <w:r>
        <w:fldChar w:fldCharType="separate"/>
      </w:r>
      <w:r>
        <w:rPr>
          <w:rStyle w:val="Hyperlink"/>
        </w:rPr>
        <w:t>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[422000-NBIS3] Administrador del patrimonio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_Toc256000100 \h 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[425000-NBIS3] Información financiera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_Toc256000102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[428000-NBIS3] Información financiera de la administración interna]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_Toc256000104 \h 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[431000-NBIS3]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_Toc256000106 \h </w:instrText>
      </w:r>
      <w:r>
        <w:fldChar w:fldCharType="separate"/>
      </w:r>
      <w:r>
        <w:rPr>
          <w:rStyle w:val="Hyperlink"/>
        </w:rPr>
        <w:t>19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[432000-NBIS3]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_Toc256000108 \h </w:instrText>
      </w:r>
      <w:r>
        <w:fldChar w:fldCharType="separate"/>
      </w:r>
      <w:r>
        <w:rPr>
          <w:rStyle w:val="Hyperlink"/>
        </w:rPr>
        <w:t>20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53957779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0" w:name="_Toc256000004"/>
      <w:bookmarkStart w:id="11" w:name="_Toc256000008"/>
      <w:bookmarkStart w:id="12" w:name="_Toc256000014"/>
      <w:bookmarkStart w:id="13" w:name="_Toc256000022"/>
      <w:bookmarkStart w:id="14" w:name="_Toc256000032"/>
      <w:bookmarkStart w:id="15" w:name="_Toc256000044"/>
      <w:bookmarkStart w:id="16" w:name="_Toc256000058"/>
      <w:bookmarkStart w:id="17" w:name="_Toc256000074"/>
      <w:bookmarkStart w:id="18" w:name="_Toc256000092"/>
      <w:r>
        <w:rPr>
          <w:rFonts w:ascii="Cambria" w:eastAsia="Cambria" w:hAnsi="Cambria" w:cs="Cambria"/>
          <w:color w:val="365F91"/>
          <w:sz w:val="36"/>
        </w:rPr>
        <w:t>[Formato: [411000-AR-NBIS3] Datos generales - Reporte Anual]</w:t>
      </w:r>
      <w:bookmarkEnd w:id="18"/>
      <w:bookmarkEnd w:id="17"/>
      <w:bookmarkEnd w:id="16"/>
      <w:bookmarkEnd w:id="15"/>
      <w:bookmarkEnd w:id="14"/>
      <w:bookmarkEnd w:id="13"/>
      <w:bookmarkEnd w:id="12"/>
      <w:bookmarkEnd w:id="11"/>
      <w:bookmarkEnd w:id="10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9" w:name="_Toc256000010"/>
      <w:bookmarkStart w:id="20" w:name="_Toc256000016"/>
      <w:bookmarkStart w:id="21" w:name="_Toc256000024"/>
      <w:bookmarkStart w:id="22" w:name="_Toc256000034"/>
      <w:bookmarkStart w:id="23" w:name="_Toc256000046"/>
      <w:bookmarkStart w:id="24" w:name="_Toc256000060"/>
      <w:bookmarkStart w:id="25" w:name="_Toc256000076"/>
      <w:bookmarkStart w:id="26" w:name="_Toc256000094"/>
      <w:r>
        <w:rPr>
          <w:rFonts w:ascii="Cambria" w:eastAsia="Cambria" w:hAnsi="Cambria" w:cs="Cambria"/>
          <w:color w:val="365F91"/>
          <w:sz w:val="36"/>
        </w:rPr>
        <w:t>[Formato: [412000-NBIS3] Portada reporte anual]</w:t>
      </w:r>
      <w:bookmarkEnd w:id="26"/>
      <w:bookmarkEnd w:id="25"/>
      <w:bookmarkEnd w:id="24"/>
      <w:bookmarkEnd w:id="23"/>
      <w:bookmarkEnd w:id="22"/>
      <w:bookmarkEnd w:id="21"/>
      <w:bookmarkEnd w:id="20"/>
      <w:bookmarkEnd w:id="19"/>
    </w:p>
    <w:p>
      <w:pPr>
        <w:pStyle w:val="Heading1"/>
      </w:pPr>
    </w:p>
    <w:sdt>
      <w:sdtPr>
        <w:id w:val="8923311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Logotipo de la emisora</w:t>
          </w:r>
        </w:p>
      </w:sdtContent>
    </w:sdt>
    <w:p/>
    <w:p/>
    <w:p/>
    <w:p/>
    <w:p/>
    <w:sdt>
      <w:sdtPr>
        <w:id w:val="10786767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Denominación de la institución fiduciaria</w:t>
          </w:r>
        </w:p>
      </w:sdtContent>
    </w:sdt>
    <w:p/>
    <w:p/>
    <w:p/>
    <w:p/>
    <w:p/>
    <w:sdt>
      <w:sdtPr>
        <w:id w:val="18213016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Dirección de la emisora</w:t>
          </w:r>
        </w:p>
      </w:sdtContent>
    </w:sdt>
    <w:p/>
    <w:p/>
    <w:p/>
    <w:p/>
    <w:p/>
    <w:sdt>
      <w:sdtPr>
        <w:id w:val="9522949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Logotipo del fideicomitente</w:t>
          </w:r>
        </w:p>
      </w:sdtContent>
    </w:sdt>
    <w:p/>
    <w:p/>
    <w:p/>
    <w:p/>
    <w:p/>
    <w:sdt>
      <w:sdtPr>
        <w:id w:val="15646417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Denominación del fideicomitente.</w:t>
          </w:r>
        </w:p>
      </w:sdtContent>
    </w:sdt>
    <w:p/>
    <w:p/>
    <w:p/>
    <w:p/>
    <w:p/>
    <w:sdt>
      <w:sdtPr>
        <w:id w:val="16618368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Dirección del fideicomitente</w:t>
          </w:r>
        </w:p>
      </w:sdtContent>
    </w:sdt>
    <w:p/>
    <w:p/>
    <w:p/>
    <w:p/>
    <w:p/>
    <w:sdt>
      <w:sdtPr>
        <w:id w:val="410104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Nombre de las bolsas donde están registrados</w:t>
          </w:r>
        </w:p>
      </w:sdtContent>
    </w:sdt>
    <w:p/>
    <w:p/>
    <w:p/>
    <w:p/>
    <w:p/>
    <w:sdt>
      <w:sdtPr>
        <w:id w:val="62912138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Datos relativos al contrato de fideicomiso</w:t>
          </w:r>
        </w:p>
      </w:sdtContent>
    </w:sdt>
    <w:p/>
    <w:p/>
    <w:p/>
    <w:p/>
    <w:p/>
    <w:sdt>
      <w:sdtPr>
        <w:id w:val="6281344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Administrador del patrimonio del fideicomiso</w:t>
          </w:r>
        </w:p>
      </w:sdtContent>
    </w:sdt>
    <w:p/>
    <w:p/>
    <w:p/>
    <w:p/>
    <w:p/>
    <w:sdt>
      <w:sdtPr>
        <w:id w:val="9723927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Indicación de cualquier otro(s) tercero(s) relevantes que reciba(n) pago por parte del fideicomiso</w:t>
          </w:r>
        </w:p>
      </w:sdtContent>
    </w:sdt>
    <w:p/>
    <w:p/>
    <w:p/>
    <w:p/>
    <w:p/>
    <w:sdt>
      <w:sdtPr>
        <w:id w:val="7378611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Resumen de las características más relevantes de los activos, derechos, proyectos o bienes que integran el patrimonio del fideicomiso</w:t>
          </w:r>
        </w:p>
      </w:sdtContent>
    </w:sdt>
    <w:p/>
    <w:p/>
    <w:p/>
    <w:p/>
    <w:p/>
    <w:sdt>
      <w:sdtPr>
        <w:id w:val="1976328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Distribuciones, periodicidad y procedimiento de cálculo</w:t>
          </w:r>
        </w:p>
      </w:sdtContent>
    </w:sdt>
    <w:p/>
    <w:p/>
    <w:p/>
    <w:p/>
    <w:p/>
    <w:sdt>
      <w:sdtPr>
        <w:id w:val="14088471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Fuente de las distribuciones</w:t>
          </w:r>
        </w:p>
      </w:sdtContent>
    </w:sdt>
    <w:p/>
    <w:p/>
    <w:p/>
    <w:p/>
    <w:p/>
    <w:sdt>
      <w:sdtPr>
        <w:id w:val="27221595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Indicación de que no existe obligación de pago de principal ni de intereses</w:t>
          </w:r>
        </w:p>
      </w:sdtContent>
    </w:sdt>
    <w:p/>
    <w:p/>
    <w:p/>
    <w:p/>
    <w:p/>
    <w:sdt>
      <w:sdtPr>
        <w:id w:val="123744861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Indicación de que los certificados bursátiles fiduciarios inmobiliarios no son amortizables</w:t>
          </w:r>
        </w:p>
      </w:sdtContent>
    </w:sdt>
    <w:p/>
    <w:p/>
    <w:p/>
    <w:p/>
    <w:p/>
    <w:sdt>
      <w:sdtPr>
        <w:id w:val="10856988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Lugar y forma de pago de las distribuciones</w:t>
          </w:r>
        </w:p>
      </w:sdtContent>
    </w:sdt>
    <w:p/>
    <w:p/>
    <w:p/>
    <w:p/>
    <w:p/>
    <w:sdt>
      <w:sdtPr>
        <w:id w:val="3473943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Denominación del representante común de los tenedores de los títulos</w:t>
          </w:r>
        </w:p>
      </w:sdtContent>
    </w:sdt>
    <w:p/>
    <w:p/>
    <w:p/>
    <w:p/>
    <w:p/>
    <w:sdt>
      <w:sdtPr>
        <w:id w:val="13779752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En su caso, dictamen valuatorio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7" w:name="_Toc256000018"/>
      <w:bookmarkStart w:id="28" w:name="_Toc256000026"/>
      <w:bookmarkStart w:id="29" w:name="_Toc256000036"/>
      <w:bookmarkStart w:id="30" w:name="_Toc256000048"/>
      <w:bookmarkStart w:id="31" w:name="_Toc256000062"/>
      <w:bookmarkStart w:id="32" w:name="_Toc256000078"/>
      <w:bookmarkStart w:id="33" w:name="_Toc256000096"/>
      <w:r>
        <w:rPr>
          <w:rFonts w:ascii="Cambria" w:eastAsia="Cambria" w:hAnsi="Cambria" w:cs="Cambria"/>
          <w:color w:val="365F91"/>
          <w:sz w:val="36"/>
        </w:rPr>
        <w:t>[Formato: [413000-NBIS3] Información general]</w:t>
      </w:r>
      <w:bookmarkEnd w:id="33"/>
      <w:bookmarkEnd w:id="32"/>
      <w:bookmarkEnd w:id="31"/>
      <w:bookmarkEnd w:id="30"/>
      <w:bookmarkEnd w:id="29"/>
      <w:bookmarkEnd w:id="28"/>
      <w:bookmarkEnd w:id="27"/>
    </w:p>
    <w:p>
      <w:pPr>
        <w:pStyle w:val="Heading1"/>
      </w:pPr>
    </w:p>
    <w:sdt>
      <w:sdtPr>
        <w:id w:val="20701551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Glosario de términos y definiciones</w:t>
          </w:r>
        </w:p>
      </w:sdtContent>
    </w:sdt>
    <w:p/>
    <w:p/>
    <w:p/>
    <w:p/>
    <w:p/>
    <w:sdt>
      <w:sdtPr>
        <w:id w:val="148469777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Resumen ejecutivo</w:t>
          </w:r>
        </w:p>
      </w:sdtContent>
    </w:sdt>
    <w:p/>
    <w:p/>
    <w:p/>
    <w:p/>
    <w:p/>
    <w:sdt>
      <w:sdtPr>
        <w:id w:val="189714702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Factores de riesgo</w:t>
          </w:r>
        </w:p>
      </w:sdtContent>
    </w:sdt>
    <w:p/>
    <w:p/>
    <w:p/>
    <w:p/>
    <w:p/>
    <w:sdt>
      <w:sdtPr>
        <w:id w:val="14606585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Otros Valores</w:t>
          </w:r>
        </w:p>
      </w:sdtContent>
    </w:sdt>
    <w:p/>
    <w:p/>
    <w:p/>
    <w:p/>
    <w:p/>
    <w:sdt>
      <w:sdtPr>
        <w:id w:val="18871981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Cambios significativos a los derechos de valores inscritos en el registro</w:t>
          </w:r>
        </w:p>
      </w:sdtContent>
    </w:sdt>
    <w:p/>
    <w:p/>
    <w:p/>
    <w:p/>
    <w:p/>
    <w:sdt>
      <w:sdtPr>
        <w:id w:val="5783381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Destino de los fondos, en su caso</w:t>
          </w:r>
        </w:p>
      </w:sdtContent>
    </w:sdt>
    <w:p/>
    <w:p/>
    <w:p/>
    <w:p/>
    <w:p/>
    <w:sdt>
      <w:sdtPr>
        <w:id w:val="13671164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4" w:name="_Toc256000028"/>
      <w:bookmarkStart w:id="35" w:name="_Toc256000038"/>
      <w:bookmarkStart w:id="36" w:name="_Toc256000050"/>
      <w:bookmarkStart w:id="37" w:name="_Toc256000064"/>
      <w:bookmarkStart w:id="38" w:name="_Toc256000080"/>
      <w:bookmarkStart w:id="39" w:name="_Toc256000098"/>
      <w:r>
        <w:rPr>
          <w:rFonts w:ascii="Cambria" w:eastAsia="Cambria" w:hAnsi="Cambria" w:cs="Cambria"/>
          <w:color w:val="365F91"/>
          <w:sz w:val="36"/>
        </w:rPr>
        <w:t>[Formato: [421000-NBIS3] El fideicomiso]</w:t>
      </w:r>
      <w:bookmarkEnd w:id="39"/>
      <w:bookmarkEnd w:id="38"/>
      <w:bookmarkEnd w:id="37"/>
      <w:bookmarkEnd w:id="36"/>
      <w:bookmarkEnd w:id="35"/>
      <w:bookmarkEnd w:id="34"/>
    </w:p>
    <w:p>
      <w:pPr>
        <w:pStyle w:val="Heading1"/>
      </w:pPr>
    </w:p>
    <w:sdt>
      <w:sdtPr>
        <w:id w:val="5659001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Historia y desarrollo del fideicomiso</w:t>
          </w:r>
        </w:p>
      </w:sdtContent>
    </w:sdt>
    <w:p/>
    <w:p/>
    <w:p/>
    <w:p/>
    <w:p/>
    <w:sdt>
      <w:sdtPr>
        <w:id w:val="4394813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Descripción del negocio</w:t>
          </w:r>
        </w:p>
      </w:sdtContent>
    </w:sdt>
    <w:p/>
    <w:p/>
    <w:p/>
    <w:p/>
    <w:p/>
    <w:sdt>
      <w:sdtPr>
        <w:id w:val="203259152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Sectores inmobiliarios en los que el fideicomiso estará enfocado a invertir</w:t>
          </w:r>
        </w:p>
      </w:sdtContent>
    </w:sdt>
    <w:p/>
    <w:p/>
    <w:p/>
    <w:p/>
    <w:p/>
    <w:sdt>
      <w:sdtPr>
        <w:id w:val="210269765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Patentes, licencias, marcas y otros contratos</w:t>
          </w:r>
        </w:p>
      </w:sdtContent>
    </w:sdt>
    <w:p/>
    <w:p/>
    <w:p/>
    <w:p/>
    <w:p/>
    <w:sdt>
      <w:sdtPr>
        <w:id w:val="1120672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Principales clientes</w:t>
          </w:r>
        </w:p>
      </w:sdtContent>
    </w:sdt>
    <w:p/>
    <w:p/>
    <w:p/>
    <w:p/>
    <w:p/>
    <w:sdt>
      <w:sdtPr>
        <w:id w:val="21176296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Legislación aplicable y régimen fiscal</w:t>
          </w:r>
        </w:p>
      </w:sdtContent>
    </w:sdt>
    <w:p/>
    <w:p/>
    <w:p/>
    <w:p/>
    <w:p/>
    <w:sdt>
      <w:sdtPr>
        <w:id w:val="19778586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Recursos humanos</w:t>
          </w:r>
        </w:p>
      </w:sdtContent>
    </w:sdt>
    <w:p/>
    <w:p/>
    <w:p/>
    <w:p/>
    <w:p/>
    <w:sdt>
      <w:sdtPr>
        <w:id w:val="20562341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Desempeño ambiental</w:t>
          </w:r>
        </w:p>
      </w:sdtContent>
    </w:sdt>
    <w:p/>
    <w:p/>
    <w:p/>
    <w:p/>
    <w:p/>
    <w:sdt>
      <w:sdtPr>
        <w:id w:val="4797539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Información de mercado</w:t>
          </w:r>
        </w:p>
      </w:sdtContent>
    </w:sdt>
    <w:p/>
    <w:p/>
    <w:p/>
    <w:p/>
    <w:p/>
    <w:sdt>
      <w:sdtPr>
        <w:id w:val="178070856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Estructura de administración</w:t>
          </w:r>
        </w:p>
      </w:sdtContent>
    </w:sdt>
    <w:p/>
    <w:p/>
    <w:p/>
    <w:p/>
    <w:p/>
    <w:sdt>
      <w:sdtPr>
        <w:id w:val="12229476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Procesos judiciales, administrativos o arbitrales</w:t>
          </w:r>
        </w:p>
      </w:sdtContent>
    </w:sdt>
    <w:p/>
    <w:p/>
    <w:p/>
    <w:p/>
    <w:p/>
    <w:sdt>
      <w:sdtPr>
        <w:id w:val="4109121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Derechos que confieren los certificados bursátiles fiduciarios inmobiliarios</w:t>
          </w:r>
        </w:p>
      </w:sdtContent>
    </w:sdt>
    <w:p/>
    <w:p/>
    <w:p/>
    <w:p/>
    <w:p/>
    <w:sdt>
      <w:sdtPr>
        <w:id w:val="6952150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Distribuciones</w:t>
          </w:r>
        </w:p>
      </w:sdtContent>
    </w:sdt>
    <w:p/>
    <w:p/>
    <w:p/>
    <w:p/>
    <w:p/>
    <w:sdt>
      <w:sdtPr>
        <w:id w:val="111971914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Descripción de los activos que conforman el patrimonio del fideicomiso</w:t>
          </w:r>
        </w:p>
      </w:sdtContent>
    </w:sdt>
    <w:p/>
    <w:p/>
    <w:p/>
    <w:p/>
    <w:p/>
    <w:sdt>
      <w:sdtPr>
        <w:id w:val="10409979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Inmuebles propiedad del fideicomiso</w:t>
          </w:r>
        </w:p>
      </w:sdtContent>
    </w:sdt>
    <w:p/>
    <w:p/>
    <w:p/>
    <w:p/>
    <w:p/>
    <w:sdt>
      <w:sdtPr>
        <w:id w:val="11164447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Adquisiciones inmobiliarias o desarrollos inmobiliarios</w:t>
          </w:r>
        </w:p>
      </w:sdtContent>
    </w:sdt>
    <w:p/>
    <w:p/>
    <w:p/>
    <w:p/>
    <w:p/>
    <w:sdt>
      <w:sdtPr>
        <w:id w:val="5642613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Evolución de los activos del fideicomiso</w:t>
          </w:r>
        </w:p>
      </w:sdtContent>
    </w:sdt>
    <w:p/>
    <w:p/>
    <w:p/>
    <w:p/>
    <w:p/>
    <w:sdt>
      <w:sdtPr>
        <w:id w:val="16545078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Desempeño de los activos del fideicomiso</w:t>
          </w:r>
        </w:p>
      </w:sdtContent>
    </w:sdt>
    <w:p/>
    <w:p/>
    <w:p/>
    <w:p/>
    <w:p/>
    <w:sdt>
      <w:sdtPr>
        <w:id w:val="10475163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Plan de negocios, análisis y calendario de inversiones y, en su caso, desinversiones</w:t>
          </w:r>
        </w:p>
      </w:sdtContent>
    </w:sdt>
    <w:p/>
    <w:p/>
    <w:p/>
    <w:p/>
    <w:p/>
    <w:sdt>
      <w:sdtPr>
        <w:id w:val="20875810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Informe de deudores relevantes</w:t>
          </w:r>
        </w:p>
      </w:sdtContent>
    </w:sdt>
    <w:p/>
    <w:p/>
    <w:p/>
    <w:p/>
    <w:p/>
    <w:sdt>
      <w:sdtPr>
        <w:id w:val="2974852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Contratos y acuerdos relevantes</w:t>
          </w:r>
        </w:p>
      </w:sdtContent>
    </w:sdt>
    <w:p/>
    <w:p/>
    <w:p/>
    <w:p/>
    <w:p/>
    <w:sdt>
      <w:sdtPr>
        <w:id w:val="19464051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Administrador</w:t>
          </w:r>
        </w:p>
      </w:sdtContent>
    </w:sdt>
    <w:p/>
    <w:p/>
    <w:p/>
    <w:p/>
    <w:p/>
    <w:sdt>
      <w:sdtPr>
        <w:id w:val="3303864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Comisiones, costos y gastos del administrador, asesor o de cualquier otro(s) tercero(s) que reciba(n) pago por parte del fideicomiso</w:t>
          </w:r>
        </w:p>
      </w:sdtContent>
    </w:sdt>
    <w:p/>
    <w:p/>
    <w:p/>
    <w:p/>
    <w:p/>
    <w:sdt>
      <w:sdtPr>
        <w:id w:val="14506221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Operaciones con personas relacionadas y conflictos de interés</w:t>
          </w:r>
        </w:p>
      </w:sdtContent>
    </w:sdt>
    <w:p/>
    <w:p/>
    <w:p/>
    <w:p/>
    <w:p/>
    <w:sdt>
      <w:sdtPr>
        <w:id w:val="10688348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Auditores externos del fideicomiso</w:t>
          </w:r>
        </w:p>
      </w:sdtContent>
    </w:sdt>
    <w:p/>
    <w:p/>
    <w:p/>
    <w:p/>
    <w:p/>
    <w:sdt>
      <w:sdtPr>
        <w:id w:val="186233569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Otros terceros obligados con el fideicomiso o los tenedores</w:t>
          </w:r>
        </w:p>
      </w:sdtContent>
    </w:sdt>
    <w:p/>
    <w:p/>
    <w:p/>
    <w:p/>
    <w:p/>
    <w:sdt>
      <w:sdtPr>
        <w:id w:val="15221440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Estructura del fideicomiso y principales tenedores</w:t>
          </w:r>
        </w:p>
      </w:sdtContent>
    </w:sdt>
    <w:p/>
    <w:p/>
    <w:p/>
    <w:p/>
    <w:p/>
    <w:sdt>
      <w:sdtPr>
        <w:id w:val="12711517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Comportamiento de los certificados bursátiles fiduciarios inmobiliarios en el mercado de valores</w:t>
          </w:r>
        </w:p>
      </w:sdtContent>
    </w:sdt>
    <w:p/>
    <w:p/>
    <w:p/>
    <w:p/>
    <w:p/>
    <w:sdt>
      <w:sdtPr>
        <w:id w:val="11513745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Denominación del formador de mercado</w:t>
          </w:r>
        </w:p>
      </w:sdtContent>
    </w:sdt>
    <w:p/>
    <w:p/>
    <w:p/>
    <w:p/>
    <w:p/>
    <w:sdt>
      <w:sdtPr>
        <w:id w:val="8542304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Identificación de los valores con los que operará el formador de mercado.</w:t>
          </w:r>
        </w:p>
      </w:sdtContent>
    </w:sdt>
    <w:p/>
    <w:p/>
    <w:p/>
    <w:p/>
    <w:p/>
    <w:sdt>
      <w:sdtPr>
        <w:id w:val="18543020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Duración del contrato con el formador de mercado</w:t>
          </w:r>
        </w:p>
      </w:sdtContent>
    </w:sdt>
    <w:p/>
    <w:p/>
    <w:p/>
    <w:p/>
    <w:p/>
    <w:sdt>
      <w:sdtPr>
        <w:id w:val="32430531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Descripción de los servicios que prestará el formador de mercado, así como los términos y condiciones generales de contratación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0" w:name="_Toc256000040"/>
      <w:bookmarkStart w:id="41" w:name="_Toc256000052"/>
      <w:bookmarkStart w:id="42" w:name="_Toc256000066"/>
      <w:bookmarkStart w:id="43" w:name="_Toc256000082"/>
      <w:bookmarkStart w:id="44" w:name="_Toc256000100"/>
      <w:r>
        <w:rPr>
          <w:rFonts w:ascii="Cambria" w:eastAsia="Cambria" w:hAnsi="Cambria" w:cs="Cambria"/>
          <w:color w:val="365F91"/>
          <w:sz w:val="36"/>
        </w:rPr>
        <w:t>[Formato: [422000-NBIS3] Administrador del patrimonio del fideicomiso]</w:t>
      </w:r>
      <w:bookmarkEnd w:id="44"/>
      <w:bookmarkEnd w:id="43"/>
      <w:bookmarkEnd w:id="42"/>
      <w:bookmarkEnd w:id="41"/>
      <w:bookmarkEnd w:id="40"/>
    </w:p>
    <w:p>
      <w:pPr>
        <w:pStyle w:val="Heading1"/>
      </w:pPr>
    </w:p>
    <w:sdt>
      <w:sdtPr>
        <w:id w:val="21434269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Historia y desarrollo del administrador del patrimonio del fideicomiso o a quien se le encomienden dichas funciones</w:t>
          </w:r>
        </w:p>
      </w:sdtContent>
    </w:sdt>
    <w:p/>
    <w:p/>
    <w:p/>
    <w:p/>
    <w:p/>
    <w:sdt>
      <w:sdtPr>
        <w:id w:val="114347825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Descripción del negocio del administrador del patrimonio</w:t>
          </w:r>
        </w:p>
      </w:sdtContent>
    </w:sdt>
    <w:p/>
    <w:p/>
    <w:p/>
    <w:p/>
    <w:p/>
    <w:sdt>
      <w:sdtPr>
        <w:id w:val="4544666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Actividad Principal</w:t>
          </w:r>
        </w:p>
      </w:sdtContent>
    </w:sdt>
    <w:p/>
    <w:p/>
    <w:p/>
    <w:p/>
    <w:p/>
    <w:sdt>
      <w:sdtPr>
        <w:id w:val="19127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Recursos Humanos del administrador del patrimonio</w:t>
          </w:r>
        </w:p>
      </w:sdtContent>
    </w:sdt>
    <w:p/>
    <w:p/>
    <w:p/>
    <w:p/>
    <w:p/>
    <w:sdt>
      <w:sdtPr>
        <w:id w:val="17516292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Estructura corporativa</w:t>
          </w:r>
        </w:p>
      </w:sdtContent>
    </w:sdt>
    <w:p/>
    <w:p/>
    <w:p/>
    <w:p/>
    <w:p/>
    <w:sdt>
      <w:sdtPr>
        <w:id w:val="75043401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[XBRL-00063]    Procesos Judiciales, administrativos o arbitrales del administrador del patrimonio</w:t>
          </w:r>
        </w:p>
      </w:sdtContent>
    </w:sdt>
    <w:p/>
    <w:p/>
    <w:p/>
    <w:p/>
    <w:p/>
    <w:sdt>
      <w:sdtPr>
        <w:id w:val="130705022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[XBRL-00064]    Administradores y accionistas del administrador del patrimonio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54"/>
      <w:bookmarkStart w:id="46" w:name="_Toc256000068"/>
      <w:bookmarkStart w:id="47" w:name="_Toc256000084"/>
      <w:bookmarkStart w:id="48" w:name="_Toc256000102"/>
      <w:r>
        <w:rPr>
          <w:rFonts w:ascii="Cambria" w:eastAsia="Cambria" w:hAnsi="Cambria" w:cs="Cambria"/>
          <w:color w:val="365F91"/>
          <w:sz w:val="36"/>
        </w:rPr>
        <w:t>[Formato: [425000-NBIS3] Información financiera del fideicomiso]</w:t>
      </w:r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55564863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[XBRL-00065]    Información financiera seleccionada del fideicomiso</w:t>
          </w:r>
        </w:p>
      </w:sdtContent>
    </w:sdt>
    <w:p/>
    <w:p/>
    <w:p/>
    <w:p/>
    <w:p/>
    <w:sdt>
      <w:sdtPr>
        <w:id w:val="16690716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[XBRL-00066]    Informe de créditos relevantes del fideicomiso</w:t>
          </w:r>
        </w:p>
      </w:sdtContent>
    </w:sdt>
    <w:p/>
    <w:p/>
    <w:p/>
    <w:p/>
    <w:p/>
    <w:sdt>
      <w:sdtPr>
        <w:id w:val="20563037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[XBRL-00067]    Comentarios y análisis de la administración sobre los resultados de operación (fideicomiso)</w:t>
          </w:r>
        </w:p>
      </w:sdtContent>
    </w:sdt>
    <w:p/>
    <w:p/>
    <w:p/>
    <w:p/>
    <w:p/>
    <w:sdt>
      <w:sdtPr>
        <w:id w:val="14845044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[XBRL-00068]    Resultados de la operación del fideicomiso</w:t>
          </w:r>
        </w:p>
      </w:sdtContent>
    </w:sdt>
    <w:p/>
    <w:p/>
    <w:p/>
    <w:p/>
    <w:p/>
    <w:sdt>
      <w:sdtPr>
        <w:id w:val="1316359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[XBRL-00069]    Situación financiera, liquidez y recursos de capital del fideicomiso</w:t>
          </w:r>
        </w:p>
      </w:sdtContent>
    </w:sdt>
    <w:p/>
    <w:p/>
    <w:p/>
    <w:p/>
    <w:p/>
    <w:sdt>
      <w:sdtPr>
        <w:id w:val="14824215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[XBRL-00070]    Control Interno del fideicomiso</w:t>
          </w:r>
        </w:p>
      </w:sdtContent>
    </w:sdt>
    <w:p/>
    <w:p/>
    <w:p/>
    <w:p/>
    <w:p/>
    <w:sdt>
      <w:sdtPr>
        <w:id w:val="13068512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[XBRL-00071]    Estimaciones, provisiones o reservas contables críticas del fideicomiso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9" w:name="_Toc256000070"/>
      <w:bookmarkStart w:id="50" w:name="_Toc256000086"/>
      <w:bookmarkStart w:id="51" w:name="_Toc256000104"/>
      <w:r>
        <w:rPr>
          <w:rFonts w:ascii="Cambria" w:eastAsia="Cambria" w:hAnsi="Cambria" w:cs="Cambria"/>
          <w:color w:val="365F91"/>
          <w:sz w:val="36"/>
        </w:rPr>
        <w:t>[Formato: [428000-NBIS3] Información financiera de la administración interna]</w:t>
      </w:r>
      <w:bookmarkEnd w:id="51"/>
      <w:bookmarkEnd w:id="50"/>
      <w:bookmarkEnd w:id="49"/>
    </w:p>
    <w:p>
      <w:pPr>
        <w:pStyle w:val="Heading1"/>
      </w:pPr>
    </w:p>
    <w:sdt>
      <w:sdtPr>
        <w:id w:val="3517238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[XBRL-00072]    Información financiera seleccionada de la administración interna</w:t>
          </w:r>
        </w:p>
      </w:sdtContent>
    </w:sdt>
    <w:p/>
    <w:p/>
    <w:p/>
    <w:p/>
    <w:p/>
    <w:sdt>
      <w:sdtPr>
        <w:id w:val="15804724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[XBRL-00073]    Comentarios y análisis de la administración sobre los resultados de operación de la Administracion Interna</w:t>
          </w:r>
        </w:p>
      </w:sdtContent>
    </w:sdt>
    <w:p/>
    <w:p/>
    <w:p/>
    <w:p/>
    <w:p/>
    <w:sdt>
      <w:sdtPr>
        <w:id w:val="11179418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[XBRL-00074]    Resultados de la operación de la administración interna</w:t>
          </w:r>
        </w:p>
      </w:sdtContent>
    </w:sdt>
    <w:p/>
    <w:p/>
    <w:p/>
    <w:p/>
    <w:p/>
    <w:sdt>
      <w:sdtPr>
        <w:id w:val="20102327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[XBRL-00075]    Situación financiera, liquidez y recursos de capital de la administración interna</w:t>
          </w:r>
        </w:p>
      </w:sdtContent>
    </w:sdt>
    <w:p/>
    <w:p/>
    <w:p/>
    <w:p/>
    <w:p/>
    <w:sdt>
      <w:sdtPr>
        <w:id w:val="5075294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[XBRL-00076]    Control interno de la administración interna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2" w:name="_Toc256000088"/>
      <w:bookmarkStart w:id="53" w:name="_Toc256000106"/>
      <w:r>
        <w:rPr>
          <w:rFonts w:ascii="Cambria" w:eastAsia="Cambria" w:hAnsi="Cambria" w:cs="Cambria"/>
          <w:color w:val="365F91"/>
          <w:sz w:val="36"/>
        </w:rPr>
        <w:t>[Formato: [431000-NBIS3] Personas responsables]</w:t>
      </w:r>
      <w:bookmarkEnd w:id="53"/>
      <w:bookmarkEnd w:id="52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4" w:name="_Toc256000108"/>
      <w:r>
        <w:rPr>
          <w:rFonts w:ascii="Cambria" w:eastAsia="Cambria" w:hAnsi="Cambria" w:cs="Cambria"/>
          <w:color w:val="365F91"/>
          <w:sz w:val="36"/>
        </w:rPr>
        <w:t>[Formato: [432000-NBIS3] Anexos]</w:t>
      </w:r>
      <w:bookmarkEnd w:id="54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932116-2610-4118-AEDD-06C3D3E9DBA8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20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