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3.0.0 -->
  <w:body>
    <w:p>
      <w:r w:rsidR="00A77B3E">
        <w:rPr>
          <w:rFonts w:ascii="Arial" w:eastAsia="Arial" w:hAnsi="Arial" w:cs="Arial"/>
          <w:vanish/>
          <w:color w:val="auto"/>
          <w:sz w:val="14"/>
        </w:rPr>
        <w:t>v1.1</w:t>
      </w:r>
    </w:p>
    <w:sdt>
      <w:sdtPr>
        <w:id w:val="55832085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Abax XBRL®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Importación de información de notas para el Documento de Instancia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TAXONOMÍA BMV AR NBIS5 2016</w:t>
          </w: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versión 1.1</w:t>
          </w:r>
        </w:p>
        <w:p>
          <w:pPr>
            <w:spacing w:line="240" w:lineRule="auto"/>
            <w:jc w:val="center"/>
          </w:pPr>
        </w:p>
      </w:sdtContent>
    </w:sdt>
    <w:p>
      <w:pPr>
        <w:rPr>
          <w:rFonts w:ascii="Cambria" w:eastAsia="Cambria" w:hAnsi="Cambria" w:cs="Cambria"/>
          <w:color w:val="365F91"/>
          <w:sz w:val="28"/>
        </w:rPr>
      </w:pPr>
      <w:r>
        <w:br w:type="page"/>
      </w:r>
      <w:r>
        <w:rPr>
          <w:rFonts w:ascii="Cambria" w:eastAsia="Cambria" w:hAnsi="Cambria" w:cs="Cambria"/>
          <w:color w:val="365F91"/>
          <w:sz w:val="28"/>
        </w:rPr>
        <w:t>Contenido</w:t>
      </w:r>
    </w:p>
    <w:p>
      <w:pPr>
        <w:rPr>
          <w:rFonts w:ascii="Cambria" w:eastAsia="Cambria" w:hAnsi="Cambria" w:cs="Cambria"/>
          <w:color w:val="365F91"/>
          <w:sz w:val="28"/>
        </w:rPr>
      </w:pP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rPr>
          <w:rFonts w:ascii="Cambria" w:eastAsia="Cambria" w:hAnsi="Cambria" w:cs="Cambria"/>
          <w:color w:val="365F91"/>
          <w:sz w:val="28"/>
        </w:rPr>
        <w:fldChar w:fldCharType="begin"/>
      </w:r>
      <w:r>
        <w:rPr>
          <w:rFonts w:ascii="Cambria" w:eastAsia="Cambria" w:hAnsi="Cambria" w:cs="Cambria"/>
          <w:color w:val="365F91"/>
          <w:sz w:val="28"/>
        </w:rPr>
        <w:instrText>TOC \o "1-3" \h \z \u</w:instrText>
      </w:r>
      <w:r>
        <w:rPr>
          <w:rFonts w:ascii="Cambria" w:eastAsia="Cambria" w:hAnsi="Cambria" w:cs="Cambria"/>
          <w:color w:val="365F91"/>
          <w:sz w:val="28"/>
        </w:rPr>
        <w:fldChar w:fldCharType="separate"/>
      </w:r>
      <w:r>
        <w:fldChar w:fldCharType="begin"/>
      </w:r>
      <w:r>
        <w:rPr>
          <w:rStyle w:val="Hyperlink"/>
        </w:rPr>
        <w:instrText xml:space="preserve"> HYPERLINK \l "_Toc256000090"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Instrucciones de llenado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_Toc256000090 \h </w:instrText>
      </w:r>
      <w:r>
        <w:fldChar w:fldCharType="separate"/>
      </w:r>
      <w:r>
        <w:rPr>
          <w:rStyle w:val="Hyperlink"/>
        </w:rPr>
        <w:t>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[411000-AR] Datos generales - Reporte Anual]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_Toc256000092 \h </w:instrText>
      </w:r>
      <w:r>
        <w:fldChar w:fldCharType="separate"/>
      </w:r>
      <w:r>
        <w:rPr>
          <w:rStyle w:val="Hyperlink"/>
        </w:rPr>
        <w:t>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[412000-NBIS5] Portada reporte anual]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_Toc256000094 \h </w:instrText>
      </w:r>
      <w:r>
        <w:fldChar w:fldCharType="separate"/>
      </w:r>
      <w:r>
        <w:rPr>
          <w:rStyle w:val="Hyperlink"/>
        </w:rPr>
        <w:t>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[413000-NBIS5] Información general]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_Toc256000096 \h </w:instrText>
      </w:r>
      <w:r>
        <w:fldChar w:fldCharType="separate"/>
      </w:r>
      <w:r>
        <w:rPr>
          <w:rStyle w:val="Hyperlink"/>
        </w:rPr>
        <w:t>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[416000-NBIS5] Estructura de la operación]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_Toc256000098 \h </w:instrText>
      </w:r>
      <w:r>
        <w:fldChar w:fldCharType="separate"/>
      </w:r>
      <w:r>
        <w:rPr>
          <w:rStyle w:val="Hyperlink"/>
        </w:rPr>
        <w:t>9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[420000-NBIS5] La fideicomitente]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_Toc256000100 \h </w:instrText>
      </w:r>
      <w:r>
        <w:fldChar w:fldCharType="separate"/>
      </w:r>
      <w:r>
        <w:rPr>
          <w:rStyle w:val="Hyperlink"/>
        </w:rPr>
        <w:t>11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[422000-NBIS5] Administrador del patrimonio del fideicomiso]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_Toc256000102 \h </w:instrText>
      </w:r>
      <w:r>
        <w:fldChar w:fldCharType="separate"/>
      </w:r>
      <w:r>
        <w:rPr>
          <w:rStyle w:val="Hyperlink"/>
        </w:rPr>
        <w:t>13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[425000-NBIS5] Información financiera del fideicomiso]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_Toc256000104 \h </w:instrText>
      </w:r>
      <w:r>
        <w:fldChar w:fldCharType="separate"/>
      </w:r>
      <w:r>
        <w:rPr>
          <w:rStyle w:val="Hyperlink"/>
        </w:rPr>
        <w:t>15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[431000-NBIS5] Personas responsables]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_Toc256000106 \h </w:instrText>
      </w:r>
      <w:r>
        <w:fldChar w:fldCharType="separate"/>
      </w:r>
      <w:r>
        <w:rPr>
          <w:rStyle w:val="Hyperlink"/>
        </w:rPr>
        <w:t>16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[432000-NBIS5] Anexos]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_Toc256000108 \h </w:instrText>
      </w:r>
      <w:r>
        <w:fldChar w:fldCharType="separate"/>
      </w:r>
      <w:r>
        <w:rPr>
          <w:rStyle w:val="Hyperlink"/>
        </w:rPr>
        <w:t>17</w:t>
      </w:r>
      <w:r>
        <w:fldChar w:fldCharType="end"/>
      </w:r>
      <w:r>
        <w:fldChar w:fldCharType="end"/>
      </w:r>
    </w:p>
    <w:p>
      <w:pPr>
        <w:pStyle w:val="Heading1"/>
        <w:rPr>
          <w:rFonts w:ascii="Cambria" w:eastAsia="Cambria" w:hAnsi="Cambria" w:cs="Cambria"/>
          <w:color w:val="365F91"/>
          <w:sz w:val="28"/>
        </w:rPr>
      </w:pPr>
      <w:r>
        <w:rPr>
          <w:rFonts w:ascii="Cambria" w:eastAsia="Cambria" w:hAnsi="Cambria" w:cs="Cambria"/>
          <w:color w:val="365F91"/>
          <w:sz w:val="28"/>
        </w:rPr>
        <w:fldChar w:fldCharType="end"/>
      </w:r>
      <w:r>
        <w:rPr>
          <w:rFonts w:ascii="Cambria" w:eastAsia="Cambria" w:hAnsi="Cambria" w:cs="Cambria"/>
          <w:color w:val="365F91"/>
          <w:sz w:val="28"/>
        </w:rPr>
        <w:br w:type="page"/>
      </w:r>
      <w:bookmarkStart w:id="0" w:name="_Toc256000000"/>
      <w:bookmarkStart w:id="1" w:name="_Toc256000002"/>
      <w:bookmarkStart w:id="2" w:name="_Toc256000006"/>
      <w:bookmarkStart w:id="3" w:name="_Toc256000012"/>
      <w:bookmarkStart w:id="4" w:name="_Toc256000020"/>
      <w:bookmarkStart w:id="5" w:name="_Toc256000030"/>
      <w:bookmarkStart w:id="6" w:name="_Toc256000042"/>
      <w:bookmarkStart w:id="7" w:name="_Toc256000056"/>
      <w:bookmarkStart w:id="8" w:name="_Toc256000072"/>
      <w:bookmarkStart w:id="9" w:name="_Toc256000090"/>
      <w:r>
        <w:rPr>
          <w:rFonts w:ascii="Cambria" w:eastAsia="Cambria" w:hAnsi="Cambria" w:cs="Cambria"/>
          <w:color w:val="365F91"/>
          <w:sz w:val="36"/>
        </w:rPr>
        <w:t>Instrucciones de llenado</w:t>
      </w:r>
      <w:bookmarkEnd w:id="9"/>
      <w:bookmarkEnd w:id="8"/>
      <w:bookmarkEnd w:id="7"/>
      <w:bookmarkEnd w:id="6"/>
      <w:bookmarkEnd w:id="5"/>
      <w:bookmarkEnd w:id="4"/>
      <w:bookmarkEnd w:id="3"/>
      <w:bookmarkEnd w:id="2"/>
      <w:bookmarkEnd w:id="1"/>
      <w:bookmarkEnd w:id="0"/>
    </w:p>
    <w:p>
      <w:pPr>
        <w:pStyle w:val="Heading1"/>
      </w:pPr>
    </w:p>
    <w:sdt>
      <w:sdtPr>
        <w:id w:val="41953184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Para la correcta importación de las notas en un documento de instancia se debe de tener en cuenta lo siguiente: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Incluir el contenido inmediatamente debajo de la nota que se desee importar.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Se tiene que respetar la totalidad del documento sin eliminar conceptos.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se debe de guardar el documento en formato .docx (Office 2007 en adelante).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debe de tener como base esta plantilla para importar información (dotx).</w:t>
          </w:r>
        </w:p>
      </w:sdtContent>
    </w:sdt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0" w:name="_Toc256000004"/>
      <w:bookmarkStart w:id="11" w:name="_Toc256000008"/>
      <w:bookmarkStart w:id="12" w:name="_Toc256000014"/>
      <w:bookmarkStart w:id="13" w:name="_Toc256000022"/>
      <w:bookmarkStart w:id="14" w:name="_Toc256000032"/>
      <w:bookmarkStart w:id="15" w:name="_Toc256000044"/>
      <w:bookmarkStart w:id="16" w:name="_Toc256000058"/>
      <w:bookmarkStart w:id="17" w:name="_Toc256000074"/>
      <w:bookmarkStart w:id="18" w:name="_Toc256000092"/>
      <w:r>
        <w:rPr>
          <w:rFonts w:ascii="Cambria" w:eastAsia="Cambria" w:hAnsi="Cambria" w:cs="Cambria"/>
          <w:color w:val="365F91"/>
          <w:sz w:val="36"/>
        </w:rPr>
        <w:t>[Formato: [411000-AR] Datos generales - Reporte Anual]</w:t>
      </w:r>
      <w:bookmarkEnd w:id="18"/>
      <w:bookmarkEnd w:id="17"/>
      <w:bookmarkEnd w:id="16"/>
      <w:bookmarkEnd w:id="15"/>
      <w:bookmarkEnd w:id="14"/>
      <w:bookmarkEnd w:id="13"/>
      <w:bookmarkEnd w:id="12"/>
      <w:bookmarkEnd w:id="11"/>
      <w:bookmarkEnd w:id="10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9" w:name="_Toc256000010"/>
      <w:bookmarkStart w:id="20" w:name="_Toc256000016"/>
      <w:bookmarkStart w:id="21" w:name="_Toc256000024"/>
      <w:bookmarkStart w:id="22" w:name="_Toc256000034"/>
      <w:bookmarkStart w:id="23" w:name="_Toc256000046"/>
      <w:bookmarkStart w:id="24" w:name="_Toc256000060"/>
      <w:bookmarkStart w:id="25" w:name="_Toc256000076"/>
      <w:bookmarkStart w:id="26" w:name="_Toc256000094"/>
      <w:r>
        <w:rPr>
          <w:rFonts w:ascii="Cambria" w:eastAsia="Cambria" w:hAnsi="Cambria" w:cs="Cambria"/>
          <w:color w:val="365F91"/>
          <w:sz w:val="36"/>
        </w:rPr>
        <w:t>[Formato: [412000-NBIS5] Portada reporte anual]</w:t>
      </w:r>
      <w:bookmarkEnd w:id="26"/>
      <w:bookmarkEnd w:id="25"/>
      <w:bookmarkEnd w:id="24"/>
      <w:bookmarkEnd w:id="23"/>
      <w:bookmarkEnd w:id="22"/>
      <w:bookmarkEnd w:id="21"/>
      <w:bookmarkEnd w:id="20"/>
      <w:bookmarkEnd w:id="19"/>
    </w:p>
    <w:p>
      <w:pPr>
        <w:pStyle w:val="Heading1"/>
      </w:pPr>
    </w:p>
    <w:sdt>
      <w:sdtPr>
        <w:id w:val="46509070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[XBRL-0001]    Datos relativos al contrato de fideicomiso</w:t>
          </w:r>
        </w:p>
      </w:sdtContent>
    </w:sdt>
    <w:p/>
    <w:p/>
    <w:p/>
    <w:p/>
    <w:p/>
    <w:sdt>
      <w:sdtPr>
        <w:id w:val="49492360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[XBRL-0002]    Denominación de la institución fiduciaria</w:t>
          </w:r>
        </w:p>
      </w:sdtContent>
    </w:sdt>
    <w:p/>
    <w:p/>
    <w:p/>
    <w:p/>
    <w:p/>
    <w:sdt>
      <w:sdtPr>
        <w:id w:val="96292673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[XBRL-0003]    Fideicomitente</w:t>
          </w:r>
        </w:p>
      </w:sdtContent>
    </w:sdt>
    <w:p/>
    <w:p/>
    <w:p/>
    <w:p/>
    <w:p/>
    <w:sdt>
      <w:sdtPr>
        <w:id w:val="198130037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[XBRL-0004]    Otras figuras</w:t>
          </w:r>
        </w:p>
      </w:sdtContent>
    </w:sdt>
    <w:p/>
    <w:p/>
    <w:p/>
    <w:p/>
    <w:p/>
    <w:sdt>
      <w:sdtPr>
        <w:id w:val="23525870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[XBRL-0005]    Administrador del patrimonio del fideicomiso</w:t>
          </w:r>
        </w:p>
      </w:sdtContent>
    </w:sdt>
    <w:p/>
    <w:p/>
    <w:p/>
    <w:p/>
    <w:p/>
    <w:sdt>
      <w:sdtPr>
        <w:id w:val="156209416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[XBRL-0006]    Indicación de cualquier otro(s) tercero(s) relevantes que reciba(n) pago por parte del fideicomiso</w:t>
          </w:r>
        </w:p>
      </w:sdtContent>
    </w:sdt>
    <w:p/>
    <w:p/>
    <w:p/>
    <w:p/>
    <w:p/>
    <w:sdt>
      <w:sdtPr>
        <w:id w:val="58585104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[XBRL-0007]    Bienes, derechos o valores fideicomitidos</w:t>
          </w:r>
        </w:p>
      </w:sdtContent>
    </w:sdt>
    <w:p/>
    <w:p/>
    <w:p/>
    <w:p/>
    <w:p/>
    <w:sdt>
      <w:sdtPr>
        <w:id w:val="111585398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[XBRL-0008]    Resumen de las características más relevantes de los activos, derechos, proyectos o bienes que integran el patrimonio del fideicomiso</w:t>
          </w:r>
        </w:p>
      </w:sdtContent>
    </w:sdt>
    <w:p/>
    <w:p/>
    <w:p/>
    <w:p/>
    <w:p/>
    <w:sdt>
      <w:sdtPr>
        <w:id w:val="65825827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[XBRL-0009]    Indicación de que no existe obligación de pago de principal ni de intereses</w:t>
          </w:r>
        </w:p>
      </w:sdtContent>
    </w:sdt>
    <w:p/>
    <w:p/>
    <w:p/>
    <w:p/>
    <w:p/>
    <w:sdt>
      <w:sdtPr>
        <w:id w:val="178990139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[XBRL-00010]    Derechos que confieren los certificados bursátiles fiduciarios de proyectos de inversión</w:t>
          </w:r>
        </w:p>
      </w:sdtContent>
    </w:sdt>
    <w:p/>
    <w:p/>
    <w:p/>
    <w:p/>
    <w:p/>
    <w:sdt>
      <w:sdtPr>
        <w:id w:val="212053892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[XBRL-00011]    Subordinación de los títulos, en su caso</w:t>
          </w:r>
        </w:p>
      </w:sdtContent>
    </w:sdt>
    <w:p/>
    <w:p/>
    <w:p/>
    <w:p/>
    <w:p/>
    <w:sdt>
      <w:sdtPr>
        <w:id w:val="56903639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[XBRL-00012]    Fuente de las distribuciones</w:t>
          </w:r>
        </w:p>
      </w:sdtContent>
    </w:sdt>
    <w:p/>
    <w:p/>
    <w:p/>
    <w:p/>
    <w:p/>
    <w:sdt>
      <w:sdtPr>
        <w:id w:val="133459335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[XBRL-00013]    Lugar y forma de pago de las distribuciones</w:t>
          </w:r>
        </w:p>
      </w:sdtContent>
    </w:sdt>
    <w:p/>
    <w:p/>
    <w:p/>
    <w:p/>
    <w:p/>
    <w:sdt>
      <w:sdtPr>
        <w:id w:val="178466707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[XBRL-00014]    Denominación del representante común de los tenedores de los títulos</w:t>
          </w:r>
        </w:p>
      </w:sdtContent>
    </w:sdt>
    <w:p/>
    <w:p/>
    <w:p/>
    <w:p/>
    <w:p/>
    <w:sdt>
      <w:sdtPr>
        <w:id w:val="175929830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[XBRL-00015]    En su caso, dictamen valuatorio</w:t>
          </w:r>
        </w:p>
      </w:sdtContent>
    </w:sdt>
    <w:p/>
    <w:p/>
    <w:p/>
    <w:p/>
    <w:p/>
    <w:sdt>
      <w:sdtPr>
        <w:id w:val="120912939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[XBRL-00016]    Posibles adquirientes; inversionistas institucionales y calificados para girar instrucciones en mesa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27" w:name="_Toc256000018"/>
      <w:bookmarkStart w:id="28" w:name="_Toc256000026"/>
      <w:bookmarkStart w:id="29" w:name="_Toc256000036"/>
      <w:bookmarkStart w:id="30" w:name="_Toc256000048"/>
      <w:bookmarkStart w:id="31" w:name="_Toc256000062"/>
      <w:bookmarkStart w:id="32" w:name="_Toc256000078"/>
      <w:bookmarkStart w:id="33" w:name="_Toc256000096"/>
      <w:r>
        <w:rPr>
          <w:rFonts w:ascii="Cambria" w:eastAsia="Cambria" w:hAnsi="Cambria" w:cs="Cambria"/>
          <w:color w:val="365F91"/>
          <w:sz w:val="36"/>
        </w:rPr>
        <w:t>[Formato: [413000-NBIS5] Información general]</w:t>
      </w:r>
      <w:bookmarkEnd w:id="33"/>
      <w:bookmarkEnd w:id="32"/>
      <w:bookmarkEnd w:id="31"/>
      <w:bookmarkEnd w:id="30"/>
      <w:bookmarkEnd w:id="29"/>
      <w:bookmarkEnd w:id="28"/>
      <w:bookmarkEnd w:id="27"/>
    </w:p>
    <w:p>
      <w:pPr>
        <w:pStyle w:val="Heading1"/>
      </w:pPr>
    </w:p>
    <w:sdt>
      <w:sdtPr>
        <w:id w:val="201123174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[XBRL-00017]    Glosario de términos y definiciones</w:t>
          </w:r>
        </w:p>
      </w:sdtContent>
    </w:sdt>
    <w:p/>
    <w:p/>
    <w:p/>
    <w:p/>
    <w:p/>
    <w:sdt>
      <w:sdtPr>
        <w:id w:val="6368366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[XBRL-00018]    Resumen ejecutivo</w:t>
          </w:r>
        </w:p>
      </w:sdtContent>
    </w:sdt>
    <w:p/>
    <w:p/>
    <w:p/>
    <w:p/>
    <w:p/>
    <w:sdt>
      <w:sdtPr>
        <w:id w:val="667005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[XBRL-00019]    Factores de riesgo</w:t>
          </w:r>
        </w:p>
      </w:sdtContent>
    </w:sdt>
    <w:p/>
    <w:p/>
    <w:p/>
    <w:p/>
    <w:p/>
    <w:sdt>
      <w:sdtPr>
        <w:id w:val="73043808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[XBRL-00020]    Cambios significativos a los derechos de valores inscritos en el registro</w:t>
          </w:r>
        </w:p>
      </w:sdtContent>
    </w:sdt>
    <w:p/>
    <w:p/>
    <w:p/>
    <w:p/>
    <w:p/>
    <w:sdt>
      <w:sdtPr>
        <w:id w:val="35273976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[XBRL-00021]    Destino de los fondos, en su caso</w:t>
          </w:r>
        </w:p>
      </w:sdtContent>
    </w:sdt>
    <w:p/>
    <w:p/>
    <w:p/>
    <w:p/>
    <w:p/>
    <w:sdt>
      <w:sdtPr>
        <w:id w:val="123531967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[XBRL-00022]    Documentos de carácter público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4" w:name="_Toc256000028"/>
      <w:bookmarkStart w:id="35" w:name="_Toc256000038"/>
      <w:bookmarkStart w:id="36" w:name="_Toc256000050"/>
      <w:bookmarkStart w:id="37" w:name="_Toc256000064"/>
      <w:bookmarkStart w:id="38" w:name="_Toc256000080"/>
      <w:bookmarkStart w:id="39" w:name="_Toc256000098"/>
      <w:r>
        <w:rPr>
          <w:rFonts w:ascii="Cambria" w:eastAsia="Cambria" w:hAnsi="Cambria" w:cs="Cambria"/>
          <w:color w:val="365F91"/>
          <w:sz w:val="36"/>
        </w:rPr>
        <w:t>[Formato: [416000-NBIS5] Estructura de la operación]</w:t>
      </w:r>
      <w:bookmarkEnd w:id="39"/>
      <w:bookmarkEnd w:id="38"/>
      <w:bookmarkEnd w:id="37"/>
      <w:bookmarkEnd w:id="36"/>
      <w:bookmarkEnd w:id="35"/>
      <w:bookmarkEnd w:id="34"/>
    </w:p>
    <w:p>
      <w:pPr>
        <w:pStyle w:val="Heading1"/>
      </w:pPr>
    </w:p>
    <w:sdt>
      <w:sdtPr>
        <w:id w:val="148866118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[XBRL-00023]    Patrimonio del fideicomiso</w:t>
          </w:r>
        </w:p>
      </w:sdtContent>
    </w:sdt>
    <w:p/>
    <w:p/>
    <w:p/>
    <w:p/>
    <w:p/>
    <w:sdt>
      <w:sdtPr>
        <w:id w:val="205506700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[XBRL-00024]    Desempeño de los valores emitidos</w:t>
          </w:r>
        </w:p>
      </w:sdtContent>
    </w:sdt>
    <w:p/>
    <w:p/>
    <w:p/>
    <w:p/>
    <w:p/>
    <w:sdt>
      <w:sdtPr>
        <w:id w:val="204020793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[XBRL-00025]    Contratos y acuerdos</w:t>
          </w:r>
        </w:p>
      </w:sdtContent>
    </w:sdt>
    <w:p/>
    <w:p/>
    <w:p/>
    <w:p/>
    <w:p/>
    <w:sdt>
      <w:sdtPr>
        <w:id w:val="61121394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[XBRL-00026]    Procesos judiciales, administrativos o arbitrales</w:t>
          </w:r>
        </w:p>
      </w:sdtContent>
    </w:sdt>
    <w:p/>
    <w:p/>
    <w:p/>
    <w:p/>
    <w:p/>
    <w:sdt>
      <w:sdtPr>
        <w:id w:val="214500183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[XBRL-00027]    Derechos</w:t>
          </w:r>
        </w:p>
      </w:sdtContent>
    </w:sdt>
    <w:p/>
    <w:p/>
    <w:p/>
    <w:p/>
    <w:p/>
    <w:sdt>
      <w:sdtPr>
        <w:id w:val="109414900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[XBRL-00028]    Distribuciones</w:t>
          </w:r>
        </w:p>
      </w:sdtContent>
    </w:sdt>
    <w:p/>
    <w:p/>
    <w:p/>
    <w:p/>
    <w:p/>
    <w:sdt>
      <w:sdtPr>
        <w:id w:val="126861116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[XBRL-00029]    Plan de negocios, análisis y calendario de inversiones y, en su caso, desinversiones</w:t>
          </w:r>
        </w:p>
      </w:sdtContent>
    </w:sdt>
    <w:p/>
    <w:p/>
    <w:p/>
    <w:p/>
    <w:p/>
    <w:sdt>
      <w:sdtPr>
        <w:id w:val="143715495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[XBRL-00030]    Valuación</w:t>
          </w:r>
        </w:p>
      </w:sdtContent>
    </w:sdt>
    <w:p/>
    <w:p/>
    <w:p/>
    <w:p/>
    <w:p/>
    <w:sdt>
      <w:sdtPr>
        <w:id w:val="106890282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[XBRL-00031]    Comisiones, costos y gastos del administrador del patrimonio del fideicomiso o a quien se le encomienden dichas funciones</w:t>
          </w:r>
        </w:p>
      </w:sdtContent>
    </w:sdt>
    <w:p/>
    <w:p/>
    <w:p/>
    <w:p/>
    <w:p/>
    <w:sdt>
      <w:sdtPr>
        <w:id w:val="109409108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[XBRL-00032]    Información relevante del periodo</w:t>
          </w:r>
        </w:p>
      </w:sdtContent>
    </w:sdt>
    <w:p/>
    <w:p/>
    <w:p/>
    <w:p/>
    <w:p/>
    <w:sdt>
      <w:sdtPr>
        <w:id w:val="152360158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[XBRL-00033]    Otros terceros obligados con el fideicomiso o los tenedores de los valores</w:t>
          </w:r>
        </w:p>
      </w:sdtContent>
    </w:sdt>
    <w:p/>
    <w:p/>
    <w:p/>
    <w:p/>
    <w:p/>
    <w:sdt>
      <w:sdtPr>
        <w:id w:val="178211081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[XBRL-00034]    Asambleas generales de tenedores</w:t>
          </w:r>
        </w:p>
      </w:sdtContent>
    </w:sdt>
    <w:p/>
    <w:p/>
    <w:p/>
    <w:p/>
    <w:p/>
    <w:sdt>
      <w:sdtPr>
        <w:id w:val="11237392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[XBRL-00035]    Comité técnico</w:t>
          </w:r>
        </w:p>
      </w:sdtContent>
    </w:sdt>
    <w:p/>
    <w:p/>
    <w:p/>
    <w:p/>
    <w:p/>
    <w:sdt>
      <w:sdtPr>
        <w:id w:val="21728772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[XBRL-00036]    Operaciones con personas relacionadas y conflictos de interés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0" w:name="_Toc256000040"/>
      <w:bookmarkStart w:id="41" w:name="_Toc256000052"/>
      <w:bookmarkStart w:id="42" w:name="_Toc256000066"/>
      <w:bookmarkStart w:id="43" w:name="_Toc256000082"/>
      <w:bookmarkStart w:id="44" w:name="_Toc256000100"/>
      <w:r>
        <w:rPr>
          <w:rFonts w:ascii="Cambria" w:eastAsia="Cambria" w:hAnsi="Cambria" w:cs="Cambria"/>
          <w:color w:val="365F91"/>
          <w:sz w:val="36"/>
        </w:rPr>
        <w:t>[Formato: [420000-NBIS5] La fideicomitente]</w:t>
      </w:r>
      <w:bookmarkEnd w:id="44"/>
      <w:bookmarkEnd w:id="43"/>
      <w:bookmarkEnd w:id="42"/>
      <w:bookmarkEnd w:id="41"/>
      <w:bookmarkEnd w:id="40"/>
    </w:p>
    <w:p>
      <w:pPr>
        <w:pStyle w:val="Heading1"/>
      </w:pPr>
    </w:p>
    <w:sdt>
      <w:sdtPr>
        <w:id w:val="9179726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[XBRL-00037]    Historia y desarrollo de la fideicomitente</w:t>
          </w:r>
        </w:p>
      </w:sdtContent>
    </w:sdt>
    <w:p/>
    <w:p/>
    <w:p/>
    <w:p/>
    <w:p/>
    <w:sdt>
      <w:sdtPr>
        <w:id w:val="192425002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[XBRL-00038]    Actividad Principal</w:t>
          </w:r>
        </w:p>
      </w:sdtContent>
    </w:sdt>
    <w:p/>
    <w:p/>
    <w:p/>
    <w:p/>
    <w:p/>
    <w:sdt>
      <w:sdtPr>
        <w:id w:val="87267848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[XBRL-00039]    Estructura corporativa</w:t>
          </w:r>
        </w:p>
      </w:sdtContent>
    </w:sdt>
    <w:p/>
    <w:p/>
    <w:p/>
    <w:p/>
    <w:p/>
    <w:sdt>
      <w:sdtPr>
        <w:id w:val="6058852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[XBRL-00040]    Descripción de los principales activos</w:t>
          </w:r>
        </w:p>
      </w:sdtContent>
    </w:sdt>
    <w:p/>
    <w:p/>
    <w:p/>
    <w:p/>
    <w:p/>
    <w:sdt>
      <w:sdtPr>
        <w:id w:val="181524352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[XBRL-00041]    Procesos judiciales, administrativos o arbitrales del fideicomitente</w:t>
          </w:r>
        </w:p>
      </w:sdtContent>
    </w:sdt>
    <w:p/>
    <w:p/>
    <w:p/>
    <w:p/>
    <w:p/>
    <w:sdt>
      <w:sdtPr>
        <w:id w:val="90170528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[XBRL-00042]    Acciones representativas del capital social</w:t>
          </w:r>
        </w:p>
      </w:sdtContent>
    </w:sdt>
    <w:p/>
    <w:p/>
    <w:p/>
    <w:p/>
    <w:p/>
    <w:sdt>
      <w:sdtPr>
        <w:id w:val="135689486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[XBRL-00043]    Reestructuraciones societarias, en su caso.</w:t>
          </w:r>
        </w:p>
      </w:sdtContent>
    </w:sdt>
    <w:p/>
    <w:p/>
    <w:p/>
    <w:p/>
    <w:p/>
    <w:sdt>
      <w:sdtPr>
        <w:id w:val="75451047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[XBRL-00044]    Administradores y accionistas</w:t>
          </w:r>
        </w:p>
      </w:sdtContent>
    </w:sdt>
    <w:p/>
    <w:p/>
    <w:p/>
    <w:p/>
    <w:p/>
    <w:sdt>
      <w:sdtPr>
        <w:id w:val="18853834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[XBRL-00045]    Estatutos sociales y otros convenios</w:t>
          </w:r>
        </w:p>
      </w:sdtContent>
    </w:sdt>
    <w:p/>
    <w:p/>
    <w:p/>
    <w:p/>
    <w:p/>
    <w:sdt>
      <w:sdtPr>
        <w:id w:val="176247582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[XBRL-00046]    Auditores externos de la fideicomitente</w:t>
          </w:r>
        </w:p>
      </w:sdtContent>
    </w:sdt>
    <w:p/>
    <w:p/>
    <w:p/>
    <w:p/>
    <w:p/>
    <w:sdt>
      <w:sdtPr>
        <w:id w:val="17752781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[XBRL-00047]    Operaciones con personas relacionadas y conflictos de interés de la fideicomitente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5" w:name="_Toc256000054"/>
      <w:bookmarkStart w:id="46" w:name="_Toc256000068"/>
      <w:bookmarkStart w:id="47" w:name="_Toc256000084"/>
      <w:bookmarkStart w:id="48" w:name="_Toc256000102"/>
      <w:r>
        <w:rPr>
          <w:rFonts w:ascii="Cambria" w:eastAsia="Cambria" w:hAnsi="Cambria" w:cs="Cambria"/>
          <w:color w:val="365F91"/>
          <w:sz w:val="36"/>
        </w:rPr>
        <w:t>[Formato: [422000-NBIS5] Administrador del patrimonio del fideicomiso]</w:t>
      </w:r>
      <w:bookmarkEnd w:id="48"/>
      <w:bookmarkEnd w:id="47"/>
      <w:bookmarkEnd w:id="46"/>
      <w:bookmarkEnd w:id="45"/>
    </w:p>
    <w:p>
      <w:pPr>
        <w:pStyle w:val="Heading1"/>
      </w:pPr>
    </w:p>
    <w:sdt>
      <w:sdtPr>
        <w:id w:val="153594184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[XBRL-00048]    Historia y desarrollo del administrador del patrimonio del fideicomiso o a quien se le encomienden dichas funciones</w:t>
          </w:r>
        </w:p>
      </w:sdtContent>
    </w:sdt>
    <w:p/>
    <w:p/>
    <w:p/>
    <w:p/>
    <w:p/>
    <w:sdt>
      <w:sdtPr>
        <w:id w:val="26340193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[XBRL-00049]    Descripción del negocio del administrador del patrimonio</w:t>
          </w:r>
        </w:p>
      </w:sdtContent>
    </w:sdt>
    <w:p/>
    <w:p/>
    <w:p/>
    <w:p/>
    <w:p/>
    <w:sdt>
      <w:sdtPr>
        <w:id w:val="66700432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[XBRL-00050]    Actividad principal del administrador</w:t>
          </w:r>
        </w:p>
      </w:sdtContent>
    </w:sdt>
    <w:p/>
    <w:p/>
    <w:p/>
    <w:p/>
    <w:p/>
    <w:sdt>
      <w:sdtPr>
        <w:id w:val="160758490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[XBRL-00051]    Recursos Humanos del administrador del patrimonio</w:t>
          </w:r>
        </w:p>
      </w:sdtContent>
    </w:sdt>
    <w:p/>
    <w:p/>
    <w:p/>
    <w:p/>
    <w:p/>
    <w:sdt>
      <w:sdtPr>
        <w:id w:val="24600542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[XBRL-00052]    Estructura Corporativa del administrador</w:t>
          </w:r>
        </w:p>
      </w:sdtContent>
    </w:sdt>
    <w:p/>
    <w:p/>
    <w:p/>
    <w:p/>
    <w:p/>
    <w:sdt>
      <w:sdtPr>
        <w:id w:val="120837518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[XBRL-00053]    Procesos Judiciales, administrativos o arbitrales del administrador del patrimonio</w:t>
          </w:r>
        </w:p>
      </w:sdtContent>
    </w:sdt>
    <w:p/>
    <w:p/>
    <w:p/>
    <w:p/>
    <w:p/>
    <w:sdt>
      <w:sdtPr>
        <w:id w:val="151520539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[XBRL-00054]    Administradores y accionistas del administrador del patrimonio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9" w:name="_Toc256000070"/>
      <w:bookmarkStart w:id="50" w:name="_Toc256000086"/>
      <w:bookmarkStart w:id="51" w:name="_Toc256000104"/>
      <w:r>
        <w:rPr>
          <w:rFonts w:ascii="Cambria" w:eastAsia="Cambria" w:hAnsi="Cambria" w:cs="Cambria"/>
          <w:color w:val="365F91"/>
          <w:sz w:val="36"/>
        </w:rPr>
        <w:t>[Formato: [425000-NBIS5] Información financiera del fideicomiso]</w:t>
      </w:r>
      <w:bookmarkEnd w:id="51"/>
      <w:bookmarkEnd w:id="50"/>
      <w:bookmarkEnd w:id="49"/>
    </w:p>
    <w:p>
      <w:pPr>
        <w:pStyle w:val="Heading1"/>
      </w:pPr>
    </w:p>
    <w:sdt>
      <w:sdtPr>
        <w:id w:val="117195137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[XBRL-00055]    Información financiera seleccionada de las sociedades respecto de las cuales el fideicomiso invierta o adquiera títulos representativos de su capital social, que no se consoliden en la información financiera del fideicomiso</w:t>
          </w:r>
        </w:p>
      </w:sdtContent>
    </w:sdt>
    <w:p/>
    <w:p/>
    <w:p/>
    <w:p/>
    <w:p/>
    <w:sdt>
      <w:sdtPr>
        <w:id w:val="14036638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[XBRL-00056]    Informe de créditos relevantes del fideicomiso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2" w:name="_Toc256000088"/>
      <w:bookmarkStart w:id="53" w:name="_Toc256000106"/>
      <w:r>
        <w:rPr>
          <w:rFonts w:ascii="Cambria" w:eastAsia="Cambria" w:hAnsi="Cambria" w:cs="Cambria"/>
          <w:color w:val="365F91"/>
          <w:sz w:val="36"/>
        </w:rPr>
        <w:t>[Formato: [431000-NBIS5] Personas responsables]</w:t>
      </w:r>
      <w:bookmarkEnd w:id="53"/>
      <w:bookmarkEnd w:id="52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4" w:name="_Toc256000108"/>
      <w:r>
        <w:rPr>
          <w:rFonts w:ascii="Cambria" w:eastAsia="Cambria" w:hAnsi="Cambria" w:cs="Cambria"/>
          <w:color w:val="365F91"/>
          <w:sz w:val="36"/>
        </w:rPr>
        <w:t>[Formato: [432000-NBIS5] Anexos]</w:t>
      </w:r>
      <w:bookmarkEnd w:id="54"/>
    </w:p>
    <w:p>
      <w:pPr>
        <w:pStyle w:val="Heading1"/>
      </w:pPr>
    </w:p>
    <w:p>
      <w:r>
        <w:br w:type="page"/>
      </w:r>
    </w:p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  <w:style w:type="paragraph" w:styleId="TOC1">
    <w:name w:val="toc 1"/>
    <w:basedOn w:val="Normal"/>
    <w:next w:val="Normal"/>
    <w:autoRedefine/>
    <w:rsid w:val="00805BCE"/>
  </w:style>
  <w:style w:type="character" w:styleId="Hyperlink">
    <w:name w:val="Hyperlink"/>
    <w:basedOn w:val="DefaultParagraphFont"/>
    <w:rsid w:val="00EF7B96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glossaryDocument" Target="glossary/document.xml" /><Relationship Id="rId5" Type="http://schemas.openxmlformats.org/officeDocument/2006/relationships/numbering" Target="numbering.xml" /><Relationship Id="rId6" Type="http://schemas.openxmlformats.org/officeDocument/2006/relationships/styles" Target="styles.xml" /></Relationships>
</file>

<file path=word/glossary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260772-2F93-476E-8097-2F9AF8D39CA2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/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20"/>
  <w:noPunctuationKerning/>
  <w:characterSpacingControl w:val="doNotCompress"/>
  <w:compat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/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17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notas - IFRS ICS v1.1</dc:title>
  <dc:creator>2HSoftware</dc:creator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 Plantilla">
    <vt:lpwstr>v1.1</vt:lpwstr>
  </property>
</Properties>
</file>