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TRƯỜNG ĐẠI HỌC FPT TP.HCM</w:t>
      </w:r>
    </w:p>
    <w:p>
      <w:pPr>
        <w:spacing w:after="120"/>
        <w:jc w:val="center"/>
      </w:pPr>
      <w:r>
        <w:rPr>
          <w:rFonts w:ascii="Times New Roman" w:cs="Times New Roman" w:eastAsia="Times New Roman" w:hAnsi="Times New Roman"/>
          <w:b/>
          <w:bCs/>
          <w:sz w:val="24"/>
          <w:szCs w:val="24"/>
        </w:rPr>
        <w:t xml:space="preserve">BỘ MÔN CF</w:t>
      </w:r>
    </w:p>
    <w:p>
      <w:pPr>
        <w:spacing w:after="120"/>
      </w:pPr>
    </w:p>
    <w:p>
      <w:pPr>
        <w:spacing w:after="120"/>
        <w:jc w:val="center"/>
      </w:pPr>
      <w:r>
        <w:rPr>
          <w:rFonts w:ascii="Times New Roman" w:cs="Times New Roman" w:eastAsia="Times New Roman" w:hAnsi="Times New Roman"/>
          <w:b/>
          <w:bCs/>
          <w:sz w:val="28"/>
          <w:szCs w:val="28"/>
        </w:rPr>
        <w:t xml:space="preserve">RESEARCH PROPOSAL / ĐỀ CƯƠNG NGHIÊN CỨU</w:t>
      </w:r>
    </w:p>
    <w:p>
      <w:pPr>
        <w:spacing w:after="120"/>
        <w:jc w:val="center"/>
      </w:pPr>
      <w:r>
        <w:rPr>
          <w:rFonts w:ascii="Times New Roman" w:cs="Times New Roman" w:eastAsia="Times New Roman" w:hAnsi="Times New Roman"/>
          <w:b/>
          <w:bCs/>
          <w:sz w:val="22"/>
          <w:szCs w:val="22"/>
        </w:rPr>
        <w:t xml:space="preserve">Môn ADY201m, lớp AI2108, nhóm 5, học kỳ Fall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w:t>
            </w:r>
          </w:p>
        </w:tc>
        <w:tc>
          <w:tcPr>
            <w:tcW w:type="dxa" w:w="6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Nội dung</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Research title</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Efficient On-board Remaining Useful Life Prediction for Lithium Ion Batteries (LIBs) in UAVs with Transferable Conformal Intervals on NASA Prognostics Data</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Tên đề tài tiếng Việt</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Tuổi thọ còn lại của pin UAV bằng mô hình nhẹ và khoảng tin cậy chuyển giao trên dữ liệu NASA</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Mentor</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Lê Võ Minh Thư (thulvm@fpt.edu.vn), Bộ môn CF</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Members (2 students)</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Sinh viên 1: ............................................  MSSV: ..................</w:t>
            </w:r>
          </w:p>
          <w:p>
            <w:pPr>
              <w:spacing w:after="40" w:line="300"/>
              <w:jc w:val="left"/>
            </w:pPr>
            <w:r>
              <w:rPr>
                <w:rFonts w:ascii="Times New Roman" w:cs="Times New Roman" w:eastAsia="Times New Roman" w:hAnsi="Times New Roman"/>
                <w:b w:val="false"/>
                <w:bCs w:val="false"/>
                <w:i w:val="false"/>
                <w:iCs w:val="false"/>
                <w:sz w:val="20"/>
                <w:szCs w:val="20"/>
              </w:rPr>
              <w:t xml:space="preserve">Sinh viên 2: ............................................  MSSV: ..................</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Target venue</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Giảng viên hướng dẫn sẽ chọn hội nghị phù hợp với kết quả của nhóm</w:t>
            </w:r>
          </w:p>
        </w:tc>
      </w:tr>
    </w:tbl>
    <w:p>
      <w:pPr>
        <w:pStyle w:val="Heading1"/>
        <w:keepNext/>
        <w:spacing w:after="120" w:before="240"/>
      </w:pPr>
      <w:r>
        <w:rPr>
          <w:rFonts w:ascii="Times New Roman" w:cs="Times New Roman" w:eastAsia="Times New Roman" w:hAnsi="Times New Roman"/>
          <w:b/>
          <w:bCs/>
          <w:color w:val="000000"/>
          <w:sz w:val="26"/>
          <w:szCs w:val="26"/>
        </w:rPr>
        <w:t xml:space="preserve">ABSTRACT / TÓM TẮT</w:t>
      </w:r>
    </w:p>
    <w:p>
      <w:pPr>
        <w:spacing w:after="120" w:line="360"/>
        <w:jc w:val="both"/>
      </w:pPr>
      <w:r>
        <w:rPr>
          <w:rFonts w:ascii="Times New Roman" w:cs="Times New Roman" w:eastAsia="Times New Roman" w:hAnsi="Times New Roman"/>
          <w:b w:val="false"/>
          <w:bCs w:val="false"/>
          <w:sz w:val="24"/>
          <w:szCs w:val="24"/>
        </w:rPr>
        <w:t xml:space="preserve">Battery failure is a leading cause of unmanned aerial vehicle incidents, and on-board remaining useful life (RUL) prediction must be both light enough to run on the flight computer and honest about its uncertainty. We use the NASA Prognostics Center of Excellence Battery Data Set, which records voltage, current and temperature at second resolution across charge and discharge cycles of thirty-six lithium-ion cells aged at 4, 22, 24, 43 and 44 degrees Celsius, giving more than 500 thousand measurements and a cycle-level capacity table. Research questions cover which discharge-curve features correlate most with capacity fade; which of five lightweight models (ridge on handcrafted features, random forest, LightGBM, a small GRU, and TabPFN) attains the lowest RUL error under an inference budget of ten milliseconds per cycle; and whether split conformal intervals keep nominal coverage when the model trained on cells aged at one temperature is applied to cells at another. Evaluation uses leave-cells-out splits with five seeds and reports error, coverage, inference time and model size. We expect tree models on curve features to match the GRU at a fraction of the cost, and we expect coverage to fail across temperature until intervals are recalibrated with a few early cycles. The contribution is an efficient, uncertainty-aware RUL baseline reproducible from open NASA data. The study is framed under SDG 7 Affordable and Clean Energy and SDG 9 Industry, Innovation and Infrastructure, using the keywords lithium ion batteries (LIBs), remaining useful life.</w:t>
      </w:r>
    </w:p>
    <w:p>
      <w:pPr>
        <w:spacing w:after="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b w:val="false"/>
          <w:bCs w:val="false"/>
          <w:sz w:val="24"/>
          <w:szCs w:val="24"/>
        </w:rPr>
        <w:t xml:space="preserve">lithium ion batteries (LIBs), remaining useful life, UAV, efficient AI, conformal prediction</w:t>
      </w:r>
    </w:p>
    <w:p>
      <w:pPr>
        <w:pStyle w:val="Heading1"/>
        <w:keepNext/>
        <w:spacing w:after="120" w:before="240"/>
      </w:pPr>
      <w:r>
        <w:rPr>
          <w:rFonts w:ascii="Times New Roman" w:cs="Times New Roman" w:eastAsia="Times New Roman" w:hAnsi="Times New Roman"/>
          <w:b/>
          <w:bCs/>
          <w:color w:val="000000"/>
          <w:sz w:val="26"/>
          <w:szCs w:val="26"/>
        </w:rPr>
        <w:t xml:space="preserve">1. INTRODUCTION / GIỚI THIỆU</w:t>
      </w:r>
    </w:p>
    <w:p>
      <w:pPr>
        <w:pStyle w:val="Heading2"/>
        <w:spacing w:after="80" w:before="160"/>
      </w:pPr>
      <w:r>
        <w:rPr>
          <w:rFonts w:ascii="Times New Roman" w:cs="Times New Roman" w:eastAsia="Times New Roman" w:hAnsi="Times New Roman"/>
          <w:b/>
          <w:bCs/>
          <w:color w:val="000000"/>
          <w:sz w:val="24"/>
          <w:szCs w:val="24"/>
        </w:rPr>
        <w:t xml:space="preserve">1.1. Literature review / Tình hình nghiên cứu trong và ngoài nước</w:t>
      </w:r>
    </w:p>
    <w:p>
      <w:pPr>
        <w:spacing w:after="120" w:line="360"/>
        <w:jc w:val="both"/>
      </w:pPr>
      <w:r>
        <w:rPr>
          <w:rFonts w:ascii="Times New Roman" w:cs="Times New Roman" w:eastAsia="Times New Roman" w:hAnsi="Times New Roman"/>
          <w:b w:val="false"/>
          <w:bCs w:val="false"/>
          <w:sz w:val="24"/>
          <w:szCs w:val="24"/>
        </w:rPr>
        <w:t xml:space="preserve">Dự đoán tuổi thọ còn lại của pin lithium-ion là bài toán trung tâm trong bảo trì dự báo; bộ dữ liệu NASA PCoE của Saha và Goebel (2007) là nguồn mở được trích dẫn nhiều nhất, với các phương pháp từ lọc hạt đến mạng hồi quy. Severson và cộng sự (2019) trên Nature Energy chỉ ra đặc trưng thủ công từ vài chu kỳ đầu đủ để dự đoán tuổi thọ chính xác, mở ra hướng mô hình nhẹ. Các bài về UAV nhấn mạnh pin là nguyên nhân sự cố hàng đầu và mô hình phải chạy trên máy tính bay giới hạn tài nguyên. Trong nước, các nhóm về xe điện và UAV đã dùng LSTM cho RUL nhưng ít khi báo chi phí suy luận. Ứng dụng là cảnh báo hạ cánh sớm, lập lịch thay pin và bảo hiểm thiết bị.</w:t>
      </w:r>
    </w:p>
    <w:p>
      <w:pPr>
        <w:spacing w:after="120" w:line="360"/>
        <w:jc w:val="both"/>
      </w:pPr>
      <w:r>
        <w:rPr>
          <w:rFonts w:ascii="Times New Roman" w:cs="Times New Roman" w:eastAsia="Times New Roman" w:hAnsi="Times New Roman"/>
          <w:b w:val="false"/>
          <w:bCs w:val="false"/>
          <w:sz w:val="24"/>
          <w:szCs w:val="24"/>
        </w:rPr>
        <w:t xml:space="preserve">Gần đây, TabPFN (Hollmann và cộng sự, 2025, Nature) cho phép dự đoán trên bảng nhỏ mà không cần tinh chỉnh, và conformal prediction (Angelopoulos và Bates, 2023) cho khoảng tin cậy có bảo đảm. Tuy nhiên, chưa có bài đo đồng thời sai số, chi phí suy luận và độ bao phủ khi chuyển mô hình giữa các nhóm pin ở nhiệt độ khác nhau, là tình huống UAV bay trong điều kiện thay đổi.</w:t>
      </w:r>
    </w:p>
    <w:p>
      <w:pPr>
        <w:pStyle w:val="Heading2"/>
        <w:spacing w:after="80" w:before="160"/>
      </w:pPr>
      <w:r>
        <w:rPr>
          <w:rFonts w:ascii="Times New Roman" w:cs="Times New Roman" w:eastAsia="Times New Roman" w:hAnsi="Times New Roman"/>
          <w:b/>
          <w:bCs/>
          <w:color w:val="000000"/>
          <w:sz w:val="24"/>
          <w:szCs w:val="24"/>
        </w:rPr>
        <w:t xml:space="preserve">1.2. The limitation of current works / Hạn chế của các nghiên cứu hiện tại</w:t>
      </w:r>
    </w:p>
    <w:p>
      <w:pPr>
        <w:spacing w:after="120" w:line="360"/>
        <w:jc w:val="both"/>
      </w:pPr>
      <w:r>
        <w:rPr>
          <w:rFonts w:ascii="Times New Roman" w:cs="Times New Roman" w:eastAsia="Times New Roman" w:hAnsi="Times New Roman"/>
          <w:b w:val="false"/>
          <w:bCs w:val="false"/>
          <w:sz w:val="24"/>
          <w:szCs w:val="24"/>
        </w:rPr>
        <w:t xml:space="preserve">Nhiều bài dùng mạng sâu cho RUL nhưng không báo thời gian suy luận và kích thước mô hình, nên không rõ có chạy được trên UAV hay không. Kết quả thường trên cùng nhóm pin, bỏ qua thay đổi nhiệt độ. Khoảng tin cậy khi có thì không được kiểm tra độ bao phủ thật. Đặc trưng thủ công của Severson chưa được đối chiếu với mô hình nền bảng như TabPFN trên dữ liệu NASA. Đề tài lấp các chỗ trống này bằng ba trục: sai số, chi phí, bất định chuyển giao.</w:t>
      </w:r>
    </w:p>
    <w:p>
      <w:pPr>
        <w:keepNext/>
        <w:spacing w:after="80" w:before="120" w:line="360"/>
        <w:jc w:val="center"/>
      </w:pPr>
      <w:r>
        <w:rPr>
          <w:rFonts w:ascii="Times New Roman" w:cs="Times New Roman" w:eastAsia="Times New Roman" w:hAnsi="Times New Roman"/>
          <w:b/>
          <w:bCs/>
          <w:i/>
          <w:iCs/>
          <w:sz w:val="24"/>
          <w:szCs w:val="24"/>
        </w:rPr>
        <w:t xml:space="preserve">Bảng 1.</w:t>
      </w:r>
      <w:r>
        <w:rPr>
          <w:rFonts w:ascii="Times New Roman" w:cs="Times New Roman" w:eastAsia="Times New Roman" w:hAnsi="Times New Roman"/>
          <w:i/>
          <w:iCs/>
          <w:sz w:val="24"/>
          <w:szCs w:val="24"/>
        </w:rPr>
        <w:t xml:space="preserve"> Khoảng trống rút ra từ ba baseline uy tín và câu hỏi nghiên cứu lấp khoảng trống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400"/>
        <w:gridCol w:w="2260"/>
      </w:tblGrid>
      <w:tr>
        <w:trPr>
          <w:tblHeader/>
        </w:trPr>
        <w:tc>
          <w:tcPr>
            <w:tcW w:type="dxa" w:w="2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Baseline</w:t>
            </w:r>
          </w:p>
        </w:tc>
        <w:tc>
          <w:tcPr>
            <w:tcW w:type="dxa" w:w="2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Đã làm gì</w:t>
            </w:r>
          </w:p>
        </w:tc>
        <w:tc>
          <w:tcPr>
            <w:tcW w:type="dxa" w:w="2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Chưa làm gì</w:t>
            </w:r>
          </w:p>
        </w:tc>
        <w:tc>
          <w:tcPr>
            <w:tcW w:type="dxa" w:w="22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Câu hỏi của đề tài</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Severson et al. (2019), Nature Energy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124 pin thương mại, đặc trưng từ 100 chu kỳ đầu, sai số tuổi thọ 9,1%</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Cùng nhiệt độ 30 độ C; không báo chi phí suy luận, không chuyển giao nhiệt độ</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RQ2 dùng lại đặc trưng và đo chi phí; RQ3 chuyển giao nhiệt độ</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Hollmann et al. (2025), Nature, TabPFN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Mô hình nền bảng cho dưới 10 nghìn dòng, không cần tinh chỉnh</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áp dụng cho RUL pin và chưa so chi phí với cây</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RQ2 đưa TabPFN vào năm mô hình</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Angelopoulos &amp; Bates (2023), conformal</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Khoảng tin cậy có bảo đảm</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kiểm tra khi pin ở nhiệt độ khác</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RQ3 đo bao phủ và tái hiệu chỉnh</w:t>
            </w:r>
          </w:p>
        </w:tc>
      </w:tr>
    </w:tbl>
    <w:p>
      <w:pPr>
        <w:pStyle w:val="Heading2"/>
        <w:spacing w:after="80" w:before="160"/>
      </w:pPr>
      <w:r>
        <w:rPr>
          <w:rFonts w:ascii="Times New Roman" w:cs="Times New Roman" w:eastAsia="Times New Roman" w:hAnsi="Times New Roman"/>
          <w:b/>
          <w:bCs/>
          <w:color w:val="000000"/>
          <w:sz w:val="24"/>
          <w:szCs w:val="24"/>
        </w:rPr>
        <w:t xml:space="preserve">1.3. The necessity of the research / Sự cần thiết tiến hành nghiên cứu</w:t>
      </w:r>
    </w:p>
    <w:p>
      <w:pPr>
        <w:spacing w:after="120" w:line="360"/>
        <w:jc w:val="both"/>
      </w:pPr>
      <w:r>
        <w:rPr>
          <w:rFonts w:ascii="Times New Roman" w:cs="Times New Roman" w:eastAsia="Times New Roman" w:hAnsi="Times New Roman"/>
          <w:b w:val="false"/>
          <w:bCs w:val="false"/>
          <w:sz w:val="24"/>
          <w:szCs w:val="24"/>
        </w:rPr>
        <w:t xml:space="preserve">Đề tài trả lời câu hỏi mô hình nhẹ nào đủ tốt cho máy tính bay và khoảng tin cậy có tin được khi điều kiện đổi. Tính mới là đánh giá đồng thời sai số, ngân sách suy luận 10 ms và độ bao phủ conformal chuyển giao theo nhiệt độ. Chủ đề có tính thời sự vì UAV giao hàng và giám sát tăng nhanh. Về khoa học, đề tài cung cấp mốc Efficient AI và Trustworthy AI trên dữ liệu mở. Về thực tiễn, mô hình chuyển sang pin UAV thực tế tại phòng thí nghiệm của trường.</w:t>
      </w:r>
    </w:p>
    <w:p>
      <w:pPr>
        <w:spacing w:after="120" w:line="360"/>
        <w:jc w:val="both"/>
      </w:pPr>
      <w:r>
        <w:rPr>
          <w:rFonts w:ascii="Times New Roman" w:cs="Times New Roman" w:eastAsia="Times New Roman" w:hAnsi="Times New Roman"/>
          <w:b w:val="false"/>
          <w:bCs w:val="false"/>
          <w:sz w:val="24"/>
          <w:szCs w:val="24"/>
        </w:rPr>
        <w:t xml:space="preserve">Đề tài được đặt trong khung Mục tiêu Phát triển Bền vững của Liên Hợp Quốc theo bảng ánh xạ từ khoá SDG 2025 của Elsevier, nên tiêu đề, keyword và abstract dùng đúng cụm từ mà hệ thống gán SDG nhận diện; điều này giúp bài được xếp vào nhóm nghiên cứu bền vững khi công bố.</w:t>
      </w:r>
    </w:p>
    <w:p>
      <w:pPr>
        <w:keepNext/>
        <w:spacing w:after="80" w:before="120" w:line="360"/>
        <w:jc w:val="center"/>
      </w:pPr>
      <w:r>
        <w:rPr>
          <w:rFonts w:ascii="Times New Roman" w:cs="Times New Roman" w:eastAsia="Times New Roman" w:hAnsi="Times New Roman"/>
          <w:b/>
          <w:bCs/>
          <w:i/>
          <w:iCs/>
          <w:sz w:val="24"/>
          <w:szCs w:val="24"/>
        </w:rPr>
        <w:t xml:space="preserve">Bảng 2.</w:t>
      </w:r>
      <w:r>
        <w:rPr>
          <w:rFonts w:ascii="Times New Roman" w:cs="Times New Roman" w:eastAsia="Times New Roman" w:hAnsi="Times New Roman"/>
          <w:i/>
          <w:iCs/>
          <w:sz w:val="24"/>
          <w:szCs w:val="24"/>
        </w:rPr>
        <w:t xml:space="preserve"> Gắn kết với Mục tiêu Phát triển Bền vững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 tiêu SDG</w:t>
            </w:r>
          </w:p>
        </w:tc>
        <w:tc>
          <w:tcPr>
            <w:tcW w:type="dxa" w:w="3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Cụm từ khoá Elsevier dùng trong bài</w:t>
            </w:r>
          </w:p>
        </w:tc>
        <w:tc>
          <w:tcPr>
            <w:tcW w:type="dxa" w:w="3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Đóng góp của đề tài</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SDG 7 Affordable and Clean Energy; SDG 9 Industry, Innovation and Infrastructure</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lithium ion batteries (LIBs), remaining useful life</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Ước lượng tuổi thọ pin lithium-ion trên thiết bị giúp dùng pin an toàn và lâu hơn (chỉ tiêu 7.3 và 9.4).</w:t>
            </w:r>
          </w:p>
        </w:tc>
      </w:tr>
    </w:tbl>
    <w:p>
      <w:pPr>
        <w:pStyle w:val="Heading1"/>
        <w:keepNext/>
        <w:spacing w:after="120" w:before="240"/>
      </w:pPr>
      <w:r>
        <w:rPr>
          <w:rFonts w:ascii="Times New Roman" w:cs="Times New Roman" w:eastAsia="Times New Roman" w:hAnsi="Times New Roman"/>
          <w:b/>
          <w:bCs/>
          <w:color w:val="000000"/>
          <w:sz w:val="26"/>
          <w:szCs w:val="26"/>
        </w:rPr>
        <w:t xml:space="preserve">2. RESEARCH OBJECTIVES / MỤC TIÊU CỦA ĐỀ TÀI</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Xây dựng bảng đặc trưng theo chu kỳ từ dữ liệu đo thô của 36 pin NASA PCoE, kèm bảng dung lượng và nhãn RUL.</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RQ1: xác định đặc trưng đường cong xả liên quan mạnh nhất với suy giảm dung lượng, bằng SQL và biểu đồ.</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RQ2: so sánh năm mô hình nhẹ theo MAE RUL, thời gian suy luận mỗi chu kỳ, kích thước mô hình, năm seed, leave-cells-out.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RQ3: đo độ bao phủ conformal khi chuyển giữa nhóm nhiệt độ và tác dụng của tái hiệu chỉnh bằng vài chu kỳ đầu.</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Hoàn thành bản thảo LNCS nộp hội nghị do giảng viên chọn, dự kiến cuối tháng 9/2026.</w:t>
      </w:r>
    </w:p>
    <w:p>
      <w:pPr>
        <w:pStyle w:val="Heading1"/>
        <w:keepNext/>
        <w:spacing w:after="120" w:before="240"/>
      </w:pPr>
      <w:r>
        <w:rPr>
          <w:rFonts w:ascii="Times New Roman" w:cs="Times New Roman" w:eastAsia="Times New Roman" w:hAnsi="Times New Roman"/>
          <w:b/>
          <w:bCs/>
          <w:color w:val="000000"/>
          <w:sz w:val="26"/>
          <w:szCs w:val="26"/>
        </w:rPr>
        <w:t xml:space="preserve">3. RESEARCH SCOPE / PHẠM VI NGHIÊN CỨU</w:t>
      </w:r>
    </w:p>
    <w:p>
      <w:pPr>
        <w:spacing w:after="120" w:line="360"/>
        <w:jc w:val="both"/>
      </w:pPr>
      <w:r>
        <w:rPr>
          <w:rFonts w:ascii="Times New Roman" w:cs="Times New Roman" w:eastAsia="Times New Roman" w:hAnsi="Times New Roman"/>
          <w:b w:val="false"/>
          <w:bCs w:val="false"/>
          <w:sz w:val="24"/>
          <w:szCs w:val="24"/>
        </w:rPr>
        <w:t xml:space="preserve">Dữ liệu NASA PCoE Battery Data Set số 5 (36 pin B0005 đến B0056, tải file 5. Battery Data Set.zip từ nasa.gov/content/prognostics-center-of-excellence-data-set-repository, kho phm-datasets.s3.amazonaws.com/NASA), file MATLAB chuyển sang parquet: đo điện áp, dòng, nhiệt độ mỗi bước thời gian trong chu kỳ sạc, xả và đo trở kháng; dung lượng mỗi chu kỳ xả. RUL tính theo số chu kỳ tới khi dung lượng còn 70% định mức. Mô hình: ridge, random forest, LightGBM, GRU nhỏ, TabPFN; conformal split. Không mô hình hoá cơ chế điện hoá.</w:t>
      </w:r>
    </w:p>
    <w:p>
      <w:pPr>
        <w:pStyle w:val="Heading1"/>
        <w:keepNext/>
        <w:spacing w:after="120" w:before="240"/>
      </w:pPr>
      <w:r>
        <w:rPr>
          <w:rFonts w:ascii="Times New Roman" w:cs="Times New Roman" w:eastAsia="Times New Roman" w:hAnsi="Times New Roman"/>
          <w:b/>
          <w:bCs/>
          <w:color w:val="000000"/>
          <w:sz w:val="26"/>
          <w:szCs w:val="26"/>
        </w:rPr>
        <w:t xml:space="preserve">4. FEASIBILITY OF RESEARCH / TÍNH KHẢ THI CỦA ĐỀ TÀI</w:t>
      </w:r>
    </w:p>
    <w:p>
      <w:pPr>
        <w:spacing w:after="120" w:line="360"/>
        <w:jc w:val="both"/>
      </w:pPr>
      <w:r>
        <w:rPr>
          <w:rFonts w:ascii="Times New Roman" w:cs="Times New Roman" w:eastAsia="Times New Roman" w:hAnsi="Times New Roman"/>
          <w:b w:val="false"/>
          <w:bCs w:val="false"/>
          <w:sz w:val="24"/>
          <w:szCs w:val="24"/>
        </w:rPr>
        <w:t xml:space="preserve">Dữ liệu tải từ kho NASA PCoE (public domain), khoảng 500 nghìn dòng đo, chuyển bằng scipy.io.loadmat. Mọi mô hình chạy trên CPU; TabPFN có bản mở. Đo thời gian suy luận bằng time.perf_counter trên máy cá nhân và quy đổi tương đối. Nhóm hai người chia phần trích đặc trưng và mô hình; giảng viên phụ trách conformal và viết. Rủi ro là vài pin có dữ liệu bất thường, xử lý bằng loại pin theo tài liệu NASA.</w:t>
      </w:r>
    </w:p>
    <w:p>
      <w:pPr>
        <w:pStyle w:val="Heading1"/>
        <w:keepNext/>
        <w:spacing w:after="120" w:before="240"/>
      </w:pPr>
      <w:r>
        <w:rPr>
          <w:rFonts w:ascii="Times New Roman" w:cs="Times New Roman" w:eastAsia="Times New Roman" w:hAnsi="Times New Roman"/>
          <w:b/>
          <w:bCs/>
          <w:color w:val="000000"/>
          <w:sz w:val="26"/>
          <w:szCs w:val="26"/>
        </w:rPr>
        <w:t xml:space="preserve">5. APPROACH AND METHOD / CÁCH TIẾP CẬN VÀ PHƯƠNG PHÁP NGHIÊN CỨU</w:t>
      </w:r>
    </w:p>
    <w:p>
      <w:pPr>
        <w:spacing w:after="120" w:line="360"/>
        <w:jc w:val="both"/>
      </w:pPr>
      <w:r>
        <w:rPr>
          <w:rFonts w:ascii="Times New Roman" w:cs="Times New Roman" w:eastAsia="Times New Roman" w:hAnsi="Times New Roman"/>
          <w:b w:val="false"/>
          <w:bCs w:val="false"/>
          <w:sz w:val="24"/>
          <w:szCs w:val="24"/>
        </w:rPr>
        <w:t xml:space="preserve">Đề tài đi theo pipeline bảy bước của môn ADY201m, trong đó Bước 1 và 2 tạo bộ dữ liệu sạch có nhật ký, Bước 3 dùng SQL để trả lời RQ1 và tạo đặc trưng, Bước 4 và 6 dùng Python để huấn luyện năm mô hình trả lời RQ2, Bước 5 tạo hình cho mọi câu hỏi, và Bước 7 gói kết quả thành dashboard. Mọi mô hình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Chuyển .mat thành hai bảng: measurements (pin, chu kỳ, loại, thời gian, V, I, T) và cycles (pin, chu kỳ, dung lượng, nhiệt độ môi trường); SQL tính đặc trưng mỗi chu kỳ xả: thời gian xả, điện áp trung bình, độ dốc điện áp đoạn giữa, nhiệt độ cực đại, diện tích dưới đường cong, và các đặc trưng Severson (phương sai khác biệt đường cong giữa chu kỳ 10 và 100).</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Nhãn RUL và ngưỡng 70%; leave-cells-out: chia pin theo nhóm nhiệt độ, năm seed.</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RQ2: năm mô hình; MAE, RMSE RUL; thời gian suy luận mỗi chu kỳ và kích thước mô hình (bytes); GRU nhỏ trên chuỗi V, I, T rút gọn 100 điểm.</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RQ3: conformal split trên pin cùng nhiệt độ, kiểm thử trên pin khác nhiệt độ; đo bao phủ 90%; tái hiệu chỉnh bằng 10 chu kỳ đầu của pin mới; SHAP cho đặc trưng đường cong.</w:t>
      </w:r>
    </w:p>
    <w:p>
      <w:pPr>
        <w:spacing w:after="60" w:before="120"/>
        <w:jc w:val="center"/>
      </w:pPr>
      <w:r>
        <w:drawing>
          <wp:inline distT="0" distB="0" distL="0" distR="0">
            <wp:extent cx="5524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314575"/>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1.</w:t>
      </w:r>
      <w:r>
        <w:rPr>
          <w:rFonts w:ascii="Times New Roman" w:cs="Times New Roman" w:eastAsia="Times New Roman" w:hAnsi="Times New Roman"/>
          <w:i/>
          <w:iCs/>
          <w:sz w:val="24"/>
          <w:szCs w:val="24"/>
        </w:rPr>
        <w:t xml:space="preserve"> Sáu bước của pipeline dùng cho bài thứ nhất chạy theo hai hàng, hàng trên là dữ liệu và SQL trong tuần 1 và 2, hàng dưới là mô hình và viết bài trong tuần 2 và 3, các nhánh xanh là sản phẩm đưa vào bài.</w:t>
      </w:r>
    </w:p>
    <w:p>
      <w:pPr>
        <w:keepNext/>
        <w:spacing w:after="80" w:before="120" w:line="360"/>
        <w:jc w:val="center"/>
      </w:pPr>
      <w:r>
        <w:rPr>
          <w:rFonts w:ascii="Times New Roman" w:cs="Times New Roman" w:eastAsia="Times New Roman" w:hAnsi="Times New Roman"/>
          <w:b/>
          <w:bCs/>
          <w:i/>
          <w:iCs/>
          <w:sz w:val="24"/>
          <w:szCs w:val="24"/>
        </w:rPr>
        <w:t xml:space="preserve">Bảng 3.</w:t>
      </w:r>
      <w:r>
        <w:rPr>
          <w:rFonts w:ascii="Times New Roman" w:cs="Times New Roman" w:eastAsia="Times New Roman" w:hAnsi="Times New Roman"/>
          <w:i/>
          <w:iCs/>
          <w:sz w:val="24"/>
          <w:szCs w:val="24"/>
        </w:rPr>
        <w:t xml:space="preserve"> Ánh xạ câu hỏi nghiên cứu, bước thực hiện, metric và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300"/>
        <w:gridCol w:w="2660"/>
      </w:tblGrid>
      <w:tr>
        <w:trPr>
          <w:tblHeader/>
        </w:trPr>
        <w:tc>
          <w:tcPr>
            <w:tcW w:type="dxa" w:w="1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Câu hỏi</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Bước và công cụ</w:t>
            </w:r>
          </w:p>
        </w:tc>
        <w:tc>
          <w:tcPr>
            <w:tcW w:type="dxa" w:w="2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Metric</w:t>
            </w:r>
          </w:p>
        </w:tc>
        <w:tc>
          <w:tcPr>
            <w:tcW w:type="dxa" w:w="26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Sản phẩm trong bài</w:t>
            </w:r>
          </w:p>
        </w:tc>
      </w:tr>
      <w:tr>
        <w:trPr>
          <w:cantSplit/>
          <w:trHeight w:val="400" w:hRule="atLeast"/>
        </w:trP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RQ1</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3 SQL, Bước 5 biểu đồ</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Thống kê mô tả, tương quan</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2, Hình 2</w:t>
            </w:r>
          </w:p>
        </w:tc>
      </w:tr>
      <w:tr>
        <w:trPr>
          <w:cantSplit/>
          <w:trHeight w:val="400" w:hRule="atLeast"/>
        </w:trP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RQ2</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4 và 6, năm mô hình, năm seed</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Theo đề: MAE, RMSE, nRMSE, NSE, macro-F1, PR-AUC</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3 có trung bình và độ lệch, Hình 3</w:t>
            </w:r>
          </w:p>
        </w:tc>
      </w:tr>
      <w:tr>
        <w:trPr>
          <w:cantSplit/>
          <w:trHeight w:val="400" w:hRule="atLeast"/>
        </w:trP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RQ3</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6 mở rộng: chuyển giao, conformal, SHAP, ngưỡng cảnh báo, chỉ tiêu SDG (phát thải, cảnh báo)</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Bao phủ, recall, precision, ECE, tương quan hạng</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4, Hình 4 và 5</w:t>
            </w:r>
          </w:p>
        </w:tc>
      </w:tr>
    </w:tbl>
    <w:p>
      <w:pPr>
        <w:pStyle w:val="Heading1"/>
        <w:keepNext/>
        <w:spacing w:after="120" w:before="240"/>
      </w:pPr>
      <w:r>
        <w:rPr>
          <w:rFonts w:ascii="Times New Roman" w:cs="Times New Roman" w:eastAsia="Times New Roman" w:hAnsi="Times New Roman"/>
          <w:b/>
          <w:bCs/>
          <w:color w:val="000000"/>
          <w:sz w:val="26"/>
          <w:szCs w:val="26"/>
        </w:rPr>
        <w:t xml:space="preserve">6. RESEARCH PLAN / KẾ HOẠCH THỰC HIỆN NGHIÊN CỨU</w:t>
      </w:r>
    </w:p>
    <w:p>
      <w:pPr>
        <w:spacing w:after="120" w:line="360"/>
        <w:jc w:val="both"/>
      </w:pPr>
      <w:r>
        <w:rPr>
          <w:rFonts w:ascii="Times New Roman" w:cs="Times New Roman" w:eastAsia="Times New Roman" w:hAnsi="Times New Roman"/>
          <w:b w:val="false"/>
          <w:bCs w:val="false"/>
          <w:sz w:val="24"/>
          <w:szCs w:val="24"/>
        </w:rPr>
        <w:t xml:space="preserve">Đề cương này là bài mẫu làm trong ba tuần đầu của môn học, từ 07/09 đến 27/09/2026, với sáu bước được giảng viên hướng dẫn chi tiết từng ngày để nhóm vừa học cách làm vừa có bản thảo hoàn chỉnh cuối tuần 3. Tuần 1 dựng dữ liệu sạch và SQL trả lời RQ1, tuần 2 xong đặc trưng, năm mô hình và bảng RQ2, tuần 3 làm câu hỏi thứ ba, vẽ hình và viết bản thảo; giảng viên chọn hội nghị và nộp. Sản phẩm của ba tuần này cũng là sản phẩm nộp LMS của tuần 1 đến 3. Từ tuần 3 nhóm bắt đầu viết đề cương mới với ba câu hỏi mới trên cùng nguồn dữ liệu, nộp tuần 4 để giảng viên duyệt, rồi tự làm đủ bảy bước cho bài thứ hai theo mẫu Springer LNCS 12 trang đứng tên sinh viên.</w:t>
      </w:r>
    </w:p>
    <w:p>
      <w:pPr>
        <w:keepNext/>
        <w:spacing w:after="80" w:before="120" w:line="360"/>
        <w:jc w:val="center"/>
      </w:pPr>
      <w:r>
        <w:rPr>
          <w:rFonts w:ascii="Times New Roman" w:cs="Times New Roman" w:eastAsia="Times New Roman" w:hAnsi="Times New Roman"/>
          <w:b/>
          <w:bCs/>
          <w:i/>
          <w:iCs/>
          <w:sz w:val="24"/>
          <w:szCs w:val="24"/>
        </w:rPr>
        <w:t xml:space="preserve">Bảng 4.</w:t>
      </w:r>
      <w:r>
        <w:rPr>
          <w:rFonts w:ascii="Times New Roman" w:cs="Times New Roman" w:eastAsia="Times New Roman" w:hAnsi="Times New Roman"/>
          <w:i/>
          <w:iCs/>
          <w:sz w:val="24"/>
          <w:szCs w:val="24"/>
        </w:rPr>
        <w:t xml:space="preserve"> Kế hoạch thực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2260"/>
        <w:gridCol w:w="1300"/>
      </w:tblGrid>
      <w:tr>
        <w:trPr>
          <w:tblHeader/>
        </w:trPr>
        <w:tc>
          <w:tcPr>
            <w:tcW w:type="dxa" w:w="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No.</w:t>
            </w:r>
          </w:p>
        </w:tc>
        <w:tc>
          <w:tcPr>
            <w:tcW w:type="dxa" w:w="18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Date</w:t>
            </w:r>
          </w:p>
        </w:tc>
        <w:tc>
          <w:tcPr>
            <w:tcW w:type="dxa" w:w="3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Task</w:t>
            </w:r>
          </w:p>
        </w:tc>
        <w:tc>
          <w:tcPr>
            <w:tcW w:type="dxa" w:w="22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Output</w:t>
            </w:r>
          </w:p>
        </w:tc>
        <w:tc>
          <w:tcPr>
            <w:tcW w:type="dxa" w:w="1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Person in charge</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07/09-13/09</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Tải và chuyển .mat, dựng hai bảng, EDA, Project Planning</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Parquet, bảng chu kỳ, nhật ký</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 nhóm; GV duyệt</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2</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14/09-20/09</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SQL đặc trưng và RQ1, 5 mô hình 5 seed leave-cells-out, đo chi phí</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RQ1, bảng RQ2 có chi phí</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SV A: SQL; SV B: mô hình</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21/09-27/09</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Conformal chuyển giao, tái hiệu chỉnh, SHAP; viết bản thảo; rà soát, kiểm tra trích dẫn, giảng viên nộp bài</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bao phủ, hình SHAP, bản thảo, bản nộp</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Intro, conformal, Discussion; SV Method, Results</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4</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28/09-04/10</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Nhóm viết và nộp đề cương mới với ba câu hỏi mới trên LMS; giảng viên duyệt; bắt đầu bài thứ hai đủ bảy bước</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Đề cương mới, kế hoạch bài thứ hai</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 nhóm; GV duyệt</w:t>
            </w:r>
          </w:p>
        </w:tc>
      </w:tr>
    </w:tbl>
    <w:p>
      <w:pPr>
        <w:spacing w:after="120" w:line="360"/>
        <w:jc w:val="both"/>
      </w:pPr>
      <w:r>
        <w:rPr>
          <w:rFonts w:ascii="Times New Roman" w:cs="Times New Roman" w:eastAsia="Times New Roman" w:hAnsi="Times New Roman"/>
          <w:b/>
          <w:bCs/>
          <w:sz w:val="24"/>
          <w:szCs w:val="24"/>
        </w:rPr>
        <w:t xml:space="preserve">Computational resource requirements: </w:t>
      </w:r>
      <w:r>
        <w:rPr>
          <w:rFonts w:ascii="Times New Roman" w:cs="Times New Roman" w:eastAsia="Times New Roman" w:hAnsi="Times New Roman"/>
          <w:b w:val="false"/>
          <w:bCs w:val="false"/>
          <w:sz w:val="24"/>
          <w:szCs w:val="24"/>
        </w:rPr>
        <w:t xml:space="preserve">máy tính cá nhân 8-16 GB RAM cho toàn bộ pipeline;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p>
    <w:p>
      <w:pPr>
        <w:pStyle w:val="Heading1"/>
        <w:keepNext/>
        <w:spacing w:after="120" w:before="240"/>
      </w:pPr>
      <w:r>
        <w:rPr>
          <w:rFonts w:ascii="Times New Roman" w:cs="Times New Roman" w:eastAsia="Times New Roman" w:hAnsi="Times New Roman"/>
          <w:b/>
          <w:bCs/>
          <w:color w:val="000000"/>
          <w:sz w:val="26"/>
          <w:szCs w:val="26"/>
        </w:rPr>
        <w:t xml:space="preserve">7. EXPECTED RESULTS / DỰ KIẾN KẾT QUẢ ĐỀ TÀI</w:t>
      </w:r>
    </w:p>
    <w:p>
      <w:pPr>
        <w:keepNext/>
        <w:spacing w:after="80" w:before="120" w:line="360"/>
        <w:jc w:val="center"/>
      </w:pPr>
      <w:r>
        <w:rPr>
          <w:rFonts w:ascii="Times New Roman" w:cs="Times New Roman" w:eastAsia="Times New Roman" w:hAnsi="Times New Roman"/>
          <w:b/>
          <w:bCs/>
          <w:i/>
          <w:iCs/>
          <w:sz w:val="24"/>
          <w:szCs w:val="24"/>
        </w:rPr>
        <w:t xml:space="preserve">Bảng 5.</w:t>
      </w:r>
      <w:r>
        <w:rPr>
          <w:rFonts w:ascii="Times New Roman" w:cs="Times New Roman" w:eastAsia="Times New Roman" w:hAnsi="Times New Roman"/>
          <w:i/>
          <w:iCs/>
          <w:sz w:val="24"/>
          <w:szCs w:val="24"/>
        </w:rPr>
        <w:t xml:space="preserve"> Kết quả dự kiến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Hạng mục</w:t>
            </w:r>
          </w:p>
        </w:tc>
        <w:tc>
          <w:tcPr>
            <w:tcW w:type="dxa" w:w="6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Dự kiến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Bộ dữ liệu và code</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Kho GitHub với script chuyển .mat và một lệnh chạy lại</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RQ1</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Độ dốc điện áp đoạn giữa và thời gian xả tương quan mạnh nhất với suy giảm</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RQ2</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LightGBM trên đặc trưng đạt MAE gần GRU với thời gian suy luận thấp hơn 20 lần; TabPFN cạnh tranh trên tập nhỏ</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RQ3</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Bao phủ tụt xuống 70-80% khi đổi nhiệt độ; tái hiệu chỉnh 10 chu kỳ đưa về gần 90%</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Sản phẩm</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 thảo hội nghị do giảng viên chọn; dashboard; proposal mới của nhóm cho hội nghị Scopus Q4</w:t>
            </w:r>
          </w:p>
        </w:tc>
      </w:tr>
    </w:tbl>
    <w:p>
      <w:pPr>
        <w:pStyle w:val="Heading1"/>
        <w:keepNext/>
        <w:spacing w:after="120" w:before="240"/>
      </w:pPr>
      <w:r>
        <w:rPr>
          <w:rFonts w:ascii="Times New Roman" w:cs="Times New Roman" w:eastAsia="Times New Roman" w:hAnsi="Times New Roman"/>
          <w:b/>
          <w:bCs/>
          <w:color w:val="000000"/>
          <w:sz w:val="26"/>
          <w:szCs w:val="26"/>
        </w:rPr>
        <w:t xml:space="preserve">8. IMPLEMENTATION GUIDE / HƯỚNG DẪN CODE, TRÌNH BÀY VÀ GIẢI THÍCH THEO SÁU BƯỚC</w:t>
      </w:r>
    </w:p>
    <w:p>
      <w:pPr>
        <w:spacing w:after="120" w:line="360"/>
        <w:jc w:val="both"/>
      </w:pPr>
      <w:r>
        <w:rPr>
          <w:rFonts w:ascii="Times New Roman" w:cs="Times New Roman" w:eastAsia="Times New Roman" w:hAnsi="Times New Roman"/>
          <w:b w:val="false"/>
          <w:bCs w:val="false"/>
          <w:sz w:val="24"/>
          <w:szCs w:val="24"/>
        </w:rPr>
        <w:t xml:space="preserve">Phần này chỉ đường cho nhóm từ dữ liệu thô đến bảng kết quả theo sáu bước đầu của môn trong ba tuần (Bước 7 dashboard làm ở bài thứ hai). Mỗi bước gồm ba phần: code làm gì, trình bày gì trong bài, và giải thích thế nào để người đọc tin. Code đầy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p>
    <w:p>
      <w:pPr>
        <w:pStyle w:val="Heading2"/>
        <w:spacing w:after="80" w:before="160"/>
      </w:pPr>
      <w:r>
        <w:rPr>
          <w:rFonts w:ascii="Times New Roman" w:cs="Times New Roman" w:eastAsia="Times New Roman" w:hAnsi="Times New Roman"/>
          <w:b/>
          <w:bCs/>
          <w:color w:val="000000"/>
          <w:sz w:val="24"/>
          <w:szCs w:val="24"/>
        </w:rPr>
        <w:t xml:space="preserve">8.0. Vì sao phải làm sáu bước và mỗi bước giúp gì cho bài báo</w:t>
      </w:r>
    </w:p>
    <w:p>
      <w:pPr>
        <w:spacing w:after="120" w:line="360"/>
        <w:jc w:val="both"/>
      </w:pPr>
      <w:r>
        <w:rPr>
          <w:rFonts w:ascii="Times New Roman" w:cs="Times New Roman" w:eastAsia="Times New Roman" w:hAnsi="Times New Roman"/>
          <w:b w:val="false"/>
          <w:bCs w:val="false"/>
          <w:sz w:val="24"/>
          <w:szCs w:val="24"/>
        </w:rPr>
        <w:t xml:space="preserve">Sáu bước không phải thủ tục của môn học mà là chuỗi bằng chứng để một người phản biện tin kết quả. Bước 1 và 2 tạo ra bộ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p>
    <w:p>
      <w:pPr>
        <w:spacing w:after="120" w:line="360"/>
        <w:jc w:val="both"/>
      </w:pPr>
      <w:r>
        <w:rPr>
          <w:rFonts w:ascii="Times New Roman" w:cs="Times New Roman" w:eastAsia="Times New Roman" w:hAnsi="Times New Roman"/>
          <w:b w:val="false"/>
          <w:bCs w:val="false"/>
          <w:sz w:val="24"/>
          <w:szCs w:val="24"/>
        </w:rPr>
        <w:t xml:space="preserve">Chọn cột từ nhiều cột là việc quan trọng nhất của Bước 2 đến 4 vì cột thừa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lai, nên không thể rò rỉ; (4) sau khi mô hình chạy, SHAP xác nhận cột nào thực sự đóng góp, cột nào có thể bỏ để mô hình nhẹ hơn. Cột được giữ phải nối về một câu hỏi: cột mô tả cho RQ1, cột dự báo cho RQ2, cột nhóm hoặc điều kiện cho RQ3.</w:t>
      </w:r>
    </w:p>
    <w:p>
      <w:pPr>
        <w:keepNext/>
        <w:spacing w:after="80" w:before="120" w:line="360"/>
        <w:jc w:val="center"/>
      </w:pPr>
      <w:r>
        <w:rPr>
          <w:rFonts w:ascii="Times New Roman" w:cs="Times New Roman" w:eastAsia="Times New Roman" w:hAnsi="Times New Roman"/>
          <w:b/>
          <w:bCs/>
          <w:i/>
          <w:iCs/>
          <w:sz w:val="24"/>
          <w:szCs w:val="24"/>
        </w:rPr>
        <w:t xml:space="preserve">Bảng 6.</w:t>
      </w:r>
      <w:r>
        <w:rPr>
          <w:rFonts w:ascii="Times New Roman" w:cs="Times New Roman" w:eastAsia="Times New Roman" w:hAnsi="Times New Roman"/>
          <w:i/>
          <w:iCs/>
          <w:sz w:val="24"/>
          <w:szCs w:val="24"/>
        </w:rPr>
        <w:t xml:space="preserve"> Mục đích, lợi ích và bằng chứng của từng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700"/>
        <w:gridCol w:w="2560"/>
      </w:tblGrid>
      <w:tr>
        <w:trPr>
          <w:tblHeader/>
        </w:trPr>
        <w:tc>
          <w:tcPr>
            <w:tcW w:type="dxa" w:w="1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Bước</w:t>
            </w:r>
          </w:p>
        </w:tc>
        <w:tc>
          <w:tcPr>
            <w:tcW w:type="dxa" w:w="2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 đích</w:t>
            </w:r>
          </w:p>
        </w:tc>
        <w:tc>
          <w:tcPr>
            <w:tcW w:type="dxa" w:w="2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Lợi ích cho bài báo</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Bằng chứng tạo ra, câu hỏi phục vụ</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 Nạp và hiểu dữ liệu</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Biết quy mô, thời gian, đơn vị, biến mục tiêu</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mô tả dữ liệu, tính hợp lệ của phạm vi</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mô tả, profile; nền cho mọi RQ</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 Làm sạch, ghép nguồn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Dữ liệu tin được, có nguồn thứ hai để giải thích</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Nhật ký làm sạch trả lời phản biện về số dòng; nguồn thứ hai tạo đặc trưng ngoại sinh</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Nhật ký, tỷ lệ khớp; RQ1 và RQ2</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 SQL và EDA</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Trả lời câu hỏi mô tả bằng số có kiểm định; tạo đặc trưng trễ đúng thời điểm</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RQ1 có p-value; đặc trưng không rò rỉ; chấm tiêu chí SQL</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Q1-Q4, RQ1a-c; RQ1</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 Python chia dữ liệu</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Đánh giá công bằng, không rò rỉ tương lai</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tin được; mốc naive cho biết cải thiện thật</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đặc trưng, số dòng train test; RQ2</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5 Trực quan hoá</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Thấy cấu trúc và bất thường; truyền đạt kết luận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Hình có caption kết luận là phần phản biện đọc đầu tiên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7 hình RQ1, 4 hình RQ2, hình RQ3</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 Mô hình và RQ3</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So năm mô hình công bằng; trả lời câu hỏi thứ ba</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kết quả có độ lệch, tinh chỉnh có căn cứ, giải thích ổn định, đóng góp chính</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RQ2, tham số, RQ3, SHAP; RQ2 và RQ3</w:t>
            </w:r>
          </w:p>
        </w:tc>
      </w:tr>
    </w:tbl>
    <w:p>
      <w:pPr>
        <w:pStyle w:val="Heading2"/>
        <w:spacing w:after="80" w:before="160"/>
      </w:pPr>
      <w:r>
        <w:rPr>
          <w:rFonts w:ascii="Times New Roman" w:cs="Times New Roman" w:eastAsia="Times New Roman" w:hAnsi="Times New Roman"/>
          <w:b/>
          <w:bCs/>
          <w:color w:val="000000"/>
          <w:sz w:val="24"/>
          <w:szCs w:val="24"/>
        </w:rPr>
        <w:t xml:space="preserve">8.1. Bước 1: hiểu bài toán và nạp dữ liệu (tuần 1)</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Riêng đề này: Tuần 1: from scipy.io import loadmat; m = loadmat("B0005.mat", simplify_cells=True); duyệt m["B0005"]["cycle"] để lấy type, ambient_temperature, data (Voltage_measured, Current_measured, Temperature_measured, Time, Capacity); ghi vào hai DataFrame rồi to_parquet; lặp cho mọi pin.</w:t>
      </w:r>
    </w:p>
    <w:p>
      <w:pPr>
        <w:spacing w:after="120" w:line="360"/>
        <w:jc w:val="both"/>
      </w:pPr>
      <w:r>
        <w:rPr>
          <w:rFonts w:ascii="Times New Roman" w:cs="Times New Roman" w:eastAsia="Times New Roman" w:hAnsi="Times New Roman"/>
          <w:b/>
          <w:bCs/>
          <w:sz w:val="24"/>
          <w:szCs w:val="24"/>
        </w:rPr>
        <w:t xml:space="preserve">Demo code Bước 1 (môi trường và nạp dữ liệu):</w:t>
      </w:r>
    </w:p>
    <w:p>
      <w:pPr>
        <w:shd w:fill="1E1E1E" w:color="auto" w:val="clear"/>
        <w:spacing w:after="0" w:line="240"/>
        <w:jc w:val="left"/>
      </w:pPr>
      <w:r>
        <w:rPr>
          <w:rFonts w:ascii="Consolas" w:cs="Consolas" w:eastAsia="Consolas" w:hAnsi="Consolas"/>
          <w:color w:val="6A9955"/>
          <w:sz w:val="17"/>
          <w:szCs w:val="17"/>
        </w:rPr>
        <w:t xml:space="preserve"># Step 1a: environment and project layout (run once)</w:t>
      </w:r>
    </w:p>
    <w:p>
      <w:pPr>
        <w:shd w:fill="1E1E1E" w:color="auto" w:val="clear"/>
        <w:spacing w:after="0" w:line="240"/>
        <w:jc w:val="left"/>
      </w:pPr>
      <w:r>
        <w:rPr>
          <w:rFonts w:ascii="Consolas" w:cs="Consolas" w:eastAsia="Consolas" w:hAnsi="Consolas"/>
          <w:color w:val="D4D4D4"/>
          <w:sz w:val="17"/>
          <w:szCs w:val="17"/>
        </w:rPr>
        <w:t xml:space="preserve">python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venv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.venv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&amp;&amp;</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source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.venv/bin/activate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Windows: .venv\Scripts\activate</w:t>
      </w:r>
    </w:p>
    <w:p>
      <w:pPr>
        <w:shd w:fill="1E1E1E" w:color="auto" w:val="clear"/>
        <w:spacing w:after="0" w:line="240"/>
        <w:jc w:val="left"/>
      </w:pPr>
      <w:r>
        <w:rPr>
          <w:rFonts w:ascii="Consolas" w:cs="Consolas" w:eastAsia="Consolas" w:hAnsi="Consolas"/>
          <w:color w:val="D4D4D4"/>
          <w:sz w:val="17"/>
          <w:szCs w:val="17"/>
        </w:rPr>
        <w:t xml:space="preserve">pip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install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pandas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numpy</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duckdb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pyarrow</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scikit-learn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lightgbm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xgboost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catboost</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statsmodels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shap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matplotlib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seaborn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ydata-profiling</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mapie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jupyter</w:t>
      </w:r>
    </w:p>
    <w:p>
      <w:pPr>
        <w:shd w:fill="1E1E1E" w:color="auto" w:val="clear"/>
        <w:spacing w:after="0" w:line="240"/>
        <w:jc w:val="left"/>
      </w:pPr>
      <w:r>
        <w:rPr>
          <w:rFonts w:ascii="Consolas" w:cs="Consolas" w:eastAsia="Consolas" w:hAnsi="Consolas"/>
          <w:color w:val="D4D4D4"/>
          <w:sz w:val="17"/>
          <w:szCs w:val="17"/>
        </w:rPr>
        <w:t xml:space="preserve">pip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freeze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requirements.txt</w:t>
      </w:r>
    </w:p>
    <w:p>
      <w:pPr>
        <w:shd w:fill="1E1E1E" w:color="auto" w:val="clear"/>
        <w:spacing w:after="0" w:line="240"/>
        <w:jc w:val="left"/>
      </w:pPr>
      <w:r>
        <w:rPr>
          <w:rFonts w:ascii="Consolas" w:cs="Consolas" w:eastAsia="Consolas" w:hAnsi="Consolas"/>
          <w:color w:val="D4D4D4"/>
          <w:sz w:val="17"/>
          <w:szCs w:val="17"/>
        </w:rPr>
        <w:t xml:space="preserve">mkdir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data/raw</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data/processed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notebooks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sql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src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report</w:t>
      </w:r>
    </w:p>
    <w:p>
      <w:pPr>
        <w:shd w:fill="1E1E1E" w:color="auto" w:val="clear"/>
        <w:spacing w:after="0" w:line="240"/>
        <w:jc w:val="left"/>
      </w:pPr>
      <w:r>
        <w:rPr>
          <w:rFonts w:ascii="Consolas" w:cs="Consolas" w:eastAsia="Consolas" w:hAnsi="Consolas"/>
          <w:color w:val="DCDCAA"/>
          <w:sz w:val="17"/>
          <w:szCs w:val="17"/>
        </w:rPr>
        <w:t xml:space="preserve">printf</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"data/raw\ndata/processed\n.venv\n*.parquet\n"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.gitignore</w:t>
      </w:r>
    </w:p>
    <w:p>
      <w:pPr>
        <w:shd w:fill="1E1E1E" w:color="auto" w:val="clear"/>
        <w:spacing w:after="0" w:line="240"/>
        <w:jc w:val="left"/>
      </w:pPr>
      <w:r>
        <w:rPr>
          <w:rFonts w:ascii="Consolas" w:cs="Consolas" w:eastAsia="Consolas" w:hAnsi="Consolas"/>
          <w:sz w:val="17"/>
          <w:szCs w:val="17"/>
        </w:rPr>
        <w:t xml:space="preserve"> </w:t>
      </w:r>
    </w:p>
    <w:p>
      <w:pPr>
        <w:spacing w:after="40" w:line="360"/>
        <w:jc w:val="both"/>
      </w:pPr>
      <w:r>
        <w:rPr>
          <w:rFonts w:ascii="Times New Roman" w:cs="Times New Roman" w:eastAsia="Times New Roman" w:hAnsi="Times New Roman"/>
          <w:b w:val="false"/>
          <w:bCs w:val="false"/>
          <w:sz w:val="24"/>
          <w:szCs w:val="24"/>
        </w:rPr>
        <w:t xml:space="preserve"> </w:t>
      </w:r>
    </w:p>
    <w:p>
      <w:pPr>
        <w:shd w:fill="1E1E1E" w:color="auto" w:val="clear"/>
        <w:spacing w:after="0" w:line="240"/>
        <w:jc w:val="left"/>
      </w:pPr>
      <w:r>
        <w:rPr>
          <w:rFonts w:ascii="Consolas" w:cs="Consolas" w:eastAsia="Consolas" w:hAnsi="Consolas"/>
          <w:color w:val="6A9955"/>
          <w:sz w:val="17"/>
          <w:szCs w:val="17"/>
        </w:rPr>
        <w:t xml:space="preserve"># Step 1b: convert NASA PCoE .mat files into two tables</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scipy</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io</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loadmat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pandas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glob</w:t>
      </w:r>
    </w:p>
    <w:p>
      <w:pPr>
        <w:shd w:fill="1E1E1E" w:color="auto" w:val="clear"/>
        <w:spacing w:after="0" w:line="240"/>
        <w:jc w:val="left"/>
      </w:pPr>
      <w:r>
        <w:rPr>
          <w:rFonts w:ascii="Consolas" w:cs="Consolas" w:eastAsia="Consolas" w:hAnsi="Consolas"/>
          <w:color w:val="9CDCFE"/>
          <w:sz w:val="17"/>
          <w:szCs w:val="17"/>
        </w:rPr>
        <w:t xml:space="preserve">meas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glob</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glob</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data/raw/B00*.mat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split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4</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loadmat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simplify_cells</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True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cycle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k</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enumerate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if</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type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discharge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continue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data</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meas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DataFrame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cell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cycle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k</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Time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Voltage_measured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I</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Current_measured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Temperature_measured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cell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cycle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k</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capacity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Capacity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T_amb</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ambient_temperature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meas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concat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DataFrame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meas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to_parquet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data/processed/meas.parquet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to_parquet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data/processed/cycles.parquet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shape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shape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nunique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một bảng mô tả dữ liệu (nguồn, file, số dòng, số cột, thời gian, giấy phép) và một đoạn nêu biến mục tiêu; hai hình từ profile (phân phối mục tiêu, bản đồ thiếu).</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nói rõ vì sao chọn phạm vi này (bang, năm, số đơn vị) và số dòng đủ lớn cho năm mô hình; nêu điều bất thường thấy ngay (thiếu theo mùa, giá trị âm, trùng khoá).</w:t>
      </w:r>
    </w:p>
    <w:p>
      <w:pPr>
        <w:pStyle w:val="Heading2"/>
        <w:spacing w:after="80" w:before="160"/>
      </w:pPr>
      <w:r>
        <w:rPr>
          <w:rFonts w:ascii="Times New Roman" w:cs="Times New Roman" w:eastAsia="Times New Roman" w:hAnsi="Times New Roman"/>
          <w:b/>
          <w:bCs/>
          <w:color w:val="000000"/>
          <w:sz w:val="24"/>
          <w:szCs w:val="24"/>
        </w:rPr>
        <w:t xml:space="preserve">8.2. Bước 2: hiểu dữ liệu và làm sạch (tuần 1)</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chuẩn tên cột; bỏ trùng theo khoá; bỏ thiếu ở mục tiêu; loại giá trị ngoài khoảng vật lý theo tài liệu cơ quan; dựng khoá thời gian đầy đủ và nội suy ngắn; ghép nguồn thứ hai bằng khoá hoặc BallTree; lưu parquet.</w:t>
      </w:r>
    </w:p>
    <w:p>
      <w:pPr>
        <w:spacing w:after="120" w:line="360"/>
        <w:jc w:val="both"/>
      </w:pPr>
      <w:r>
        <w:rPr>
          <w:rFonts w:ascii="Times New Roman" w:cs="Times New Roman" w:eastAsia="Times New Roman" w:hAnsi="Times New Roman"/>
          <w:b/>
          <w:bCs/>
          <w:sz w:val="24"/>
          <w:szCs w:val="24"/>
        </w:rPr>
        <w:t xml:space="preserve">Demo code Bước 2 (làm sạch và ghép nguồn):</w:t>
      </w:r>
    </w:p>
    <w:p>
      <w:pPr>
        <w:shd w:fill="1E1E1E" w:color="auto" w:val="clear"/>
        <w:spacing w:after="0" w:line="240"/>
        <w:jc w:val="left"/>
      </w:pPr>
      <w:r>
        <w:rPr>
          <w:rFonts w:ascii="Consolas" w:cs="Consolas" w:eastAsia="Consolas" w:hAnsi="Consolas"/>
          <w:color w:val="6A9955"/>
          <w:sz w:val="17"/>
          <w:szCs w:val="17"/>
        </w:rPr>
        <w:t xml:space="preserve"># Step 2: clean and build RUL labels (end of life at 70% of the 2 Ah rated capacity)</w:t>
      </w:r>
    </w:p>
    <w:p>
      <w:pPr>
        <w:shd w:fill="1E1E1E" w:color="auto" w:val="clear"/>
        <w:spacing w:after="0" w:line="240"/>
        <w:jc w:val="left"/>
      </w:pP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drop_duplicates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cell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cycle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dropna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subset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capacity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capacity</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&amp;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capacity</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&lt;</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sort_values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cell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cycle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idx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groupby</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cell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cumcount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eol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capacity</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1.4</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groupby</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cell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idx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min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rename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eol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end-of-life cycle</w:t>
      </w:r>
    </w:p>
    <w:p>
      <w:pPr>
        <w:shd w:fill="1E1E1E" w:color="auto" w:val="clear"/>
        <w:spacing w:after="0" w:line="240"/>
        <w:jc w:val="left"/>
      </w:pP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merge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eol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on</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cell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how</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inner</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rul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eol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idx</w:t>
      </w:r>
    </w:p>
    <w:p>
      <w:pPr>
        <w:shd w:fill="1E1E1E" w:color="auto" w:val="clear"/>
        <w:spacing w:after="0" w:line="240"/>
        <w:jc w:val="left"/>
      </w:pP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groupby</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cell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agg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idx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max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eol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eol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first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T_amb</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first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nhật ký làm sạch (bước, số dòng bỏ, lý do, số dòng còn lại) và tỷ lệ khớp khi ghép nguồn.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mỗi quyết định làm sạch phải có lý do bằng tài liệu hoặc số liệu, không xoá ngoại lai chỉ vì trông lạ; nếu tỷ lệ khớp dưới 90% phải nêu cách xử lý.</w:t>
      </w:r>
    </w:p>
    <w:p>
      <w:pPr>
        <w:pStyle w:val="Heading2"/>
        <w:spacing w:after="80" w:before="160"/>
      </w:pPr>
      <w:r>
        <w:rPr>
          <w:rFonts w:ascii="Times New Roman" w:cs="Times New Roman" w:eastAsia="Times New Roman" w:hAnsi="Times New Roman"/>
          <w:b/>
          <w:bCs/>
          <w:color w:val="000000"/>
          <w:sz w:val="24"/>
          <w:szCs w:val="24"/>
        </w:rPr>
        <w:t xml:space="preserve">8.3. Bước 3: phân tích bằng SQL, trả lời RQ1 (tuần 2)</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đưa parquet vào DuckDB; viết sql/queries.sql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Riêng đề này: Tuần 2: sql/queries.sql: Q1 dung lượng theo chu kỳ và pin (GROUP BY), Q2 đặc trưng xả mỗi chu kỳ bằng window (MIN, MAX, AVG, regr_slope trong DuckDB), Q3 nhãn RUL = chu kỳ hỏng - chu kỳ hiện tại, Q4 kiểm tra.</w:t>
      </w:r>
    </w:p>
    <w:p>
      <w:pPr>
        <w:spacing w:after="120" w:line="360"/>
        <w:jc w:val="both"/>
      </w:pPr>
      <w:r>
        <w:rPr>
          <w:rFonts w:ascii="Times New Roman" w:cs="Times New Roman" w:eastAsia="Times New Roman" w:hAnsi="Times New Roman"/>
          <w:b/>
          <w:bCs/>
          <w:sz w:val="24"/>
          <w:szCs w:val="24"/>
        </w:rPr>
        <w:t xml:space="preserve">Demo code Bước 3 (sql/queries.sql):</w:t>
      </w:r>
    </w:p>
    <w:p>
      <w:pPr>
        <w:shd w:fill="1E1E1E" w:color="auto" w:val="clear"/>
        <w:spacing w:after="0" w:line="240"/>
        <w:jc w:val="left"/>
      </w:pPr>
      <w:r>
        <w:rPr>
          <w:rFonts w:ascii="Consolas" w:cs="Consolas" w:eastAsia="Consolas" w:hAnsi="Consolas"/>
          <w:color w:val="6A9955"/>
          <w:sz w:val="17"/>
          <w:szCs w:val="17"/>
        </w:rPr>
        <w:t xml:space="preserve">-- Step 3: sql/queries.sql, discharge-curve features per cycle</w:t>
      </w:r>
    </w:p>
    <w:p>
      <w:pPr>
        <w:shd w:fill="1E1E1E" w:color="auto" w:val="clear"/>
        <w:spacing w:after="0" w:line="240"/>
        <w:jc w:val="left"/>
      </w:pPr>
      <w:r>
        <w:rPr>
          <w:rFonts w:ascii="Consolas" w:cs="Consolas" w:eastAsia="Consolas" w:hAnsi="Consolas"/>
          <w:color w:val="569CD6"/>
          <w:sz w:val="17"/>
          <w:szCs w:val="17"/>
        </w:rPr>
        <w:t xml:space="preserve">CREATE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REPLACE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TABLE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'data/processed/meas.parquet'</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CREATE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REPLACE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TABLE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'data/processed/cycles.parquet'</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Q1: capacity by cycle and cell</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cycle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capacity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capacity</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FIRST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capacity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OVER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PARTITION</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ORDER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cycle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soh</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Q2: features from the discharge curve</w:t>
      </w:r>
    </w:p>
    <w:p>
      <w:pPr>
        <w:shd w:fill="1E1E1E" w:color="auto" w:val="clear"/>
        <w:spacing w:after="0" w:line="240"/>
        <w:jc w:val="left"/>
      </w:pPr>
      <w:r>
        <w:rPr>
          <w:rFonts w:ascii="Consolas" w:cs="Consolas" w:eastAsia="Consolas" w:hAnsi="Consolas"/>
          <w:color w:val="569CD6"/>
          <w:sz w:val="17"/>
          <w:szCs w:val="17"/>
        </w:rPr>
        <w:t xml:space="preserve">CREATE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REPLACE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TABLE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curve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cycle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discharge_time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AVG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V_mean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T_max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V_min</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regr_slope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FILTER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WHERE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BETWEEN</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4</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AND</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dV_mid_slope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area_curve</w:t>
      </w:r>
    </w:p>
    <w:p>
      <w:pPr>
        <w:shd w:fill="1E1E1E" w:color="auto" w:val="clear"/>
        <w:spacing w:after="0" w:line="240"/>
        <w:jc w:val="left"/>
      </w:pP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GROUP</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Q3: model table</w:t>
      </w:r>
    </w:p>
    <w:p>
      <w:pPr>
        <w:shd w:fill="1E1E1E" w:color="auto" w:val="clear"/>
        <w:spacing w:after="0" w:line="240"/>
        <w:jc w:val="left"/>
      </w:pPr>
      <w:r>
        <w:rPr>
          <w:rFonts w:ascii="Consolas" w:cs="Consolas" w:eastAsia="Consolas" w:hAnsi="Consolas"/>
          <w:color w:val="569CD6"/>
          <w:sz w:val="17"/>
          <w:szCs w:val="17"/>
        </w:rPr>
        <w:t xml:space="preserve">CREATE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REPLACE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TABLE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cycle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idx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T_amb</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u</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LAG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discharge_time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OVER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PARTITION</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ORDER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cycle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dt_lag5</w:t>
      </w:r>
    </w:p>
    <w:p>
      <w:pPr>
        <w:shd w:fill="1E1E1E" w:color="auto" w:val="clear"/>
        <w:spacing w:after="0" w:line="240"/>
        <w:jc w:val="left"/>
      </w:pP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cyc</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JOIN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curve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u</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USING</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cycle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COUNT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GROUP</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2.</w:t>
      </w:r>
      <w:r>
        <w:rPr>
          <w:rFonts w:ascii="Times New Roman" w:cs="Times New Roman" w:eastAsia="Times New Roman" w:hAnsi="Times New Roman"/>
          <w:i/>
          <w:iCs/>
          <w:sz w:val="24"/>
          <w:szCs w:val="24"/>
        </w:rPr>
        <w:t xml:space="preserve"> Dung lượng xả giảm dần theo chu kỳ của một pin mẫu cho thấy pha suy giảm nhanh sau chu kỳ 100, là vùng nhãn RUL nhỏ. Số liệu trong hình là minh hoạ định dạng, nhóm thay bằng kết quả thật.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kết quả RQ1 (ví dụ theo mùa hoặc theo nhóm) và một hình đi kèm; đoạn kết luận một câu có số, ví dụ "mùa đông có tỷ lệ ngày vượt ngưỡng cao gấp ba mùa hè".</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nêu truy vấn nào trả lời phần nào của RQ1; ghi rõ đặc trưng nào sinh bằng SQL để hội đồng chấm tiêu chí Analysis with SQL; kiểm tra tay một trạm 10 ngày để chứng minh window function đúng.</w:t>
      </w:r>
    </w:p>
    <w:p>
      <w:pPr>
        <w:pStyle w:val="Heading2"/>
        <w:spacing w:after="80" w:before="160"/>
      </w:pPr>
      <w:r>
        <w:rPr>
          <w:rFonts w:ascii="Times New Roman" w:cs="Times New Roman" w:eastAsia="Times New Roman" w:hAnsi="Times New Roman"/>
          <w:b/>
          <w:bCs/>
          <w:color w:val="000000"/>
          <w:sz w:val="24"/>
          <w:szCs w:val="24"/>
        </w:rPr>
        <w:t xml:space="preserve">8.4. Bước 4: phân tích bằng Python, đặc trưng và chia dữ liệu (tuần 2)</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xuất bảng đặc trưng từ DuckDB sang pandas; mã 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p>
    <w:p>
      <w:pPr>
        <w:spacing w:after="120" w:line="360"/>
        <w:jc w:val="both"/>
      </w:pPr>
      <w:r>
        <w:rPr>
          <w:rFonts w:ascii="Times New Roman" w:cs="Times New Roman" w:eastAsia="Times New Roman" w:hAnsi="Times New Roman"/>
          <w:b/>
          <w:bCs/>
          <w:sz w:val="24"/>
          <w:szCs w:val="24"/>
        </w:rPr>
        <w:t xml:space="preserve">Demo code Bước 4 (đặc trưng và chia dữ liệu):</w:t>
      </w:r>
    </w:p>
    <w:p>
      <w:pPr>
        <w:shd w:fill="1E1E1E" w:color="auto" w:val="clear"/>
        <w:spacing w:after="0" w:line="240"/>
        <w:jc w:val="left"/>
      </w:pPr>
      <w:r>
        <w:rPr>
          <w:rFonts w:ascii="Consolas" w:cs="Consolas" w:eastAsia="Consolas" w:hAnsi="Consolas"/>
          <w:color w:val="6A9955"/>
          <w:sz w:val="17"/>
          <w:szCs w:val="17"/>
        </w:rPr>
        <w:t xml:space="preserve"># Step 4: leave-cells-out by temperature group</w:t>
      </w:r>
    </w:p>
    <w:p>
      <w:pPr>
        <w:shd w:fill="1E1E1E" w:color="auto" w:val="clear"/>
        <w:spacing w:after="0" w:line="240"/>
        <w:jc w:val="left"/>
      </w:pP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execute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SELECT * FROM feat WHERE dt_lag5 IS NOT NULL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df</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idx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discharge_time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V_mean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T_max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V_min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dV_mid_slope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area_curve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dt_lag5</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T_amb</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cells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unique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random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RandomState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42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test_cells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choice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cells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cells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replace</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isin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test_cells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cell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isin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test_cells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rul</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test cells: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list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test_cells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danh sách đặc trưng (tên, cách tính, nguồn) và một đoạn mô tả cách chia (mốc thời gian, số dòng train, validation, test).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nêu vì sao chia theo thời gian (tránh rò rỉ tương lai) và vì sao không fit scaler trên toàn bộ dữ liệu; nêu kiểm tra rò rỉ mục tiêu (không đặc trưng nào dùng giá trị sau thời điểm dự báo).</w:t>
      </w:r>
    </w:p>
    <w:p>
      <w:pPr>
        <w:pStyle w:val="Heading2"/>
        <w:spacing w:after="80" w:before="160"/>
      </w:pPr>
      <w:r>
        <w:rPr>
          <w:rFonts w:ascii="Times New Roman" w:cs="Times New Roman" w:eastAsia="Times New Roman" w:hAnsi="Times New Roman"/>
          <w:b/>
          <w:bCs/>
          <w:color w:val="000000"/>
          <w:sz w:val="24"/>
          <w:szCs w:val="24"/>
        </w:rPr>
        <w:t xml:space="preserve">8.5. Bước 5: trực quan hoá có giải thích (tuần 3)</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matplotlib và seaborn; mỗi hình một hàm; bỏ viền trên và phải; số in đậm trên cột; nhãn trục tiếng Anh có đơn vị; lưu PNG 300 dpi vào report/ với tên fig_rqX_noidung.png.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Bộ hình tối thiểu: phân phối mục tiêu; xu hướng theo thời gian và mùa; tương quan đặc trưng và mục tiêu; so sánh nhóm (trạm, bang, thiết bị); sau Bước 6 thêm dự báo so thực tế, residual, SHAP.</w:t>
      </w:r>
    </w:p>
    <w:p>
      <w:pPr>
        <w:spacing w:after="120" w:line="360"/>
        <w:jc w:val="both"/>
      </w:pPr>
      <w:r>
        <w:rPr>
          <w:rFonts w:ascii="Times New Roman" w:cs="Times New Roman" w:eastAsia="Times New Roman" w:hAnsi="Times New Roman"/>
          <w:b/>
          <w:bCs/>
          <w:sz w:val="24"/>
          <w:szCs w:val="24"/>
        </w:rPr>
        <w:t xml:space="preserve">Demo code Bước 5 (hàm vẽ chuẩn):</w:t>
      </w:r>
    </w:p>
    <w:p>
      <w:pPr>
        <w:shd w:fill="1E1E1E" w:color="auto" w:val="clear"/>
        <w:spacing w:after="0" w:line="240"/>
        <w:jc w:val="left"/>
      </w:pPr>
      <w:r>
        <w:rPr>
          <w:rFonts w:ascii="Consolas" w:cs="Consolas" w:eastAsia="Consolas" w:hAnsi="Consolas"/>
          <w:color w:val="6A9955"/>
          <w:sz w:val="17"/>
          <w:szCs w:val="17"/>
        </w:rPr>
        <w:t xml:space="preserve"># Step 5: standard plotting helper reused for every figure (src/plots.py)</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matplotlib</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pyplot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p>
    <w:p>
      <w:pPr>
        <w:shd w:fill="1E1E1E" w:color="auto" w:val="clear"/>
        <w:spacing w:after="0" w:line="240"/>
        <w:jc w:val="left"/>
      </w:pPr>
      <w:r>
        <w:rPr>
          <w:rFonts w:ascii="Consolas" w:cs="Consolas" w:eastAsia="Consolas" w:hAnsi="Consolas"/>
          <w:color w:val="569CD6"/>
          <w:sz w:val="17"/>
          <w:szCs w:val="17"/>
        </w:rPr>
        <w:t xml:space="preserve">def</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bar_chart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labels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ylabel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path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highlight</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None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fmt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{:.1f}</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subplots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figsize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6.5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colors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#F4A261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if</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highlight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else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#1B6B6D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range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bars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bar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labels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colors</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bar_label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bars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labels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fmt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format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fontweight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bold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padding</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set_ylabel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ylabel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set_ylim</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spines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top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right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set_visible</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remove top and right spines</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tight_layout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savefig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path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dpi</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close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hd w:fill="1E1E1E" w:color="auto" w:val="clear"/>
        <w:spacing w:after="0" w:line="240"/>
        <w:jc w:val="left"/>
      </w:pPr>
      <w:r>
        <w:rPr>
          <w:rFonts w:ascii="Consolas" w:cs="Consolas" w:eastAsia="Consolas" w:hAnsi="Consolas"/>
          <w:color w:val="6A9955"/>
          <w:sz w:val="17"/>
          <w:szCs w:val="17"/>
        </w:rPr>
        <w:t xml:space="preserve"># Example: RQ2 figure from the results table</w:t>
      </w:r>
    </w:p>
    <w:p>
      <w:pPr>
        <w:shd w:fill="1E1E1E" w:color="auto" w:val="clear"/>
        <w:spacing w:after="0" w:line="240"/>
        <w:jc w:val="left"/>
      </w:pPr>
      <w:r>
        <w:rPr>
          <w:rFonts w:ascii="Consolas" w:cs="Consolas" w:eastAsia="Consolas" w:hAnsi="Consolas"/>
          <w:color w:val="9CDCFE"/>
          <w:sz w:val="17"/>
          <w:szCs w:val="17"/>
        </w:rPr>
        <w:t xml:space="preserve">bar_chart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model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iloc</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columns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report/fig_rq2_models.png</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highlight</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iloc</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idxmin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fmt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{:.2f}</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caption 2-3 dòng nêu kết luận thay vì mô tả trục; đánh số hình theo thứ tự xuất hiện; mỗi hình được nhắc trong văn bản trước khi xuất hiện.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với mỗi hình trả lời ba câu: hình nói gì, vì sao quan trọng cho RQ, hạn chế của hình (ví dụ chỉ một năm, chỉ một bang).</w:t>
      </w:r>
    </w:p>
    <w:p>
      <w:pPr>
        <w:pStyle w:val="Heading2"/>
        <w:spacing w:after="80" w:before="160"/>
      </w:pPr>
      <w:r>
        <w:rPr>
          <w:rFonts w:ascii="Times New Roman" w:cs="Times New Roman" w:eastAsia="Times New Roman" w:hAnsi="Times New Roman"/>
          <w:b/>
          <w:bCs/>
          <w:color w:val="000000"/>
          <w:sz w:val="24"/>
          <w:szCs w:val="24"/>
        </w:rPr>
        <w:t xml:space="preserve">8.6. Bước 6: mô hình, cách chọn mô hình và cách đọc bảng tham số (tuần 2 đến 3)</w:t>
      </w:r>
    </w:p>
    <w:p>
      <w:pPr>
        <w:spacing w:after="120" w:line="360"/>
        <w:jc w:val="both"/>
      </w:pPr>
      <w:r>
        <w:rPr>
          <w:rFonts w:ascii="Times New Roman" w:cs="Times New Roman" w:eastAsia="Times New Roman" w:hAnsi="Times New Roman"/>
          <w:b w:val="false"/>
          <w:bCs w:val="false"/>
          <w:sz w:val="24"/>
          <w:szCs w:val="24"/>
        </w:rPr>
        <w:t xml:space="preserve">Nhóm chọn đúng năm mô hình theo dạng bài toán: luôn có một mốc đơn giản (naive hoặc persistence với chuỗi thời gian, logistic hoặc ridge với bảng), một mô hình tuyến tính có điều chuẩn, một mô hình rừng ngẫu nhiên, một mô hình cây tăng cường (LightGBM hoặc XGBoost hoặc CatBoost) và một mô hình đối chứng theo hướng nghiên cứu (mô hình nền zero-shot, TabPFN, GRU nhỏ hoặc DistilBERT tuỳ đề). Mô hình được chọn vì có lý do đo được: mốc để biết cải thiện thật, tuyến tính để có hệ số giải thích, cây để bắt phi tuyến với chi phí thấp, đối chứng để trả lời câu hỏi thứ ba. Mọi mô hình dùng chung đặc trưng, chung cách chia, chung metric và năm seed. Tinh chỉnh tham số bằng validation bên trong tập huấn luyện, không bao giờ trên tập kiểm thử. Bảng 6 dưới đây liệt kê tham số quan trọng, ý nghĩa và khoảng tinh chỉnh hợp lý.</w:t>
      </w:r>
    </w:p>
    <w:p>
      <w:pPr>
        <w:keepNext/>
        <w:spacing w:after="80" w:before="120" w:line="360"/>
        <w:jc w:val="center"/>
      </w:pPr>
      <w:r>
        <w:rPr>
          <w:rFonts w:ascii="Times New Roman" w:cs="Times New Roman" w:eastAsia="Times New Roman" w:hAnsi="Times New Roman"/>
          <w:b/>
          <w:bCs/>
          <w:i/>
          <w:iCs/>
          <w:sz w:val="24"/>
          <w:szCs w:val="24"/>
        </w:rPr>
        <w:t xml:space="preserve">Bảng 7.</w:t>
      </w:r>
      <w:r>
        <w:rPr>
          <w:rFonts w:ascii="Times New Roman" w:cs="Times New Roman" w:eastAsia="Times New Roman" w:hAnsi="Times New Roman"/>
          <w:i/>
          <w:iCs/>
          <w:sz w:val="24"/>
          <w:szCs w:val="24"/>
        </w:rPr>
        <w:t xml:space="preserve"> Tham số chính của các mô hình và cách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200"/>
        <w:gridCol w:w="2560"/>
      </w:tblGrid>
      <w:tr>
        <w:trPr>
          <w:tblHeader/>
        </w:trPr>
        <w:tc>
          <w:tcPr>
            <w:tcW w:type="dxa" w:w="1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Mô hình</w:t>
            </w:r>
          </w:p>
        </w:tc>
        <w:tc>
          <w:tcPr>
            <w:tcW w:type="dxa" w:w="19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Tham số</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Ý nghĩa</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Khoảng tinh chỉnh</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Ridge, Lasso</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alpha</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Mức điều chuẩn; lớn thì hệ số nhỏ, ít quá khớp</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 đến 100 theo thang log</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Random Forest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n_estimators, max_depth, min_samples_leaf</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cây; độ sâu; số mẫu tối thiểu ở lá (lớn thì mượt hơn)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300-500; None hoặc 10-30; 1-20</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LightGBM, XGBoost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n_estimators, learning_rate, num_leaves hoặc max_depth, subsample, colsample_bytree</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vòng; tốc độ học (nhỏ cần nhiều vòng); độ phức tạp cây; tỷ lệ mẫu và cột mỗi cây</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200-2000 với early stopping; 0,01-0,1; 15-127 hoặc 4-10; 0,7-1,0</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CatBoost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iterations, depth, learning_rate, l2_leaf_reg</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Như trên; xử lý biến phân loại tự động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300-1500; 4-8; 0,03-0,1; 1-10</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SARIMA</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(p,d,q)(P,D,Q,s)</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Bậc tự hồi quy, sai phân, trung bình trượt; phần mùa với chu kỳ s</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Chọn theo ACF, PACF và AIC; s là 7 hoặc 24</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GRU nhỏ</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hidden, window, epochs, lr</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đơn vị ẩn; độ dài cửa sổ vào; số vòng; tốc độ học</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32-64; 30-90; 20-50; 0,001</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Chronos, TimesFM</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context_length, model size</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bước ngữ cảnh; kích thước mô hình nền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90-512; small hoặc base</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Conformal</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alpha, phương pháp</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Mức lỗi cho phép (0,1 cho bao phủ 90%); split hoặc CV+</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0,05-0,2</w:t>
            </w:r>
          </w:p>
        </w:tc>
      </w:tr>
    </w:tbl>
    <w:p>
      <w:pPr>
        <w:spacing w:after="120" w:line="360"/>
        <w:jc w:val="both"/>
      </w:pPr>
      <w:r>
        <w:rPr>
          <w:rFonts w:ascii="Times New Roman" w:cs="Times New Roman" w:eastAsia="Times New Roman" w:hAnsi="Times New Roman"/>
          <w:b w:val="false"/>
          <w:bCs w:val="false"/>
          <w:sz w:val="24"/>
          <w:szCs w:val="24"/>
        </w:rPr>
        <w:t xml:space="preserve">Cách đọc bảng kết quả: mỗi ô là trung bình cộng trừ độ lệch chuẩn của năm seed trên cùng tập kiểm thử; hàng đầu là mốc,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vì cải thiện một phần trăm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 learning_rate lớn với ít vòng. Cách đọc SHAP: summary plot cho biết đặc trưng nào quan trọng và chiều tác động, dependence plot cho quan hệ phi tuyến, và so sánh xếp hạng giữa seed hay giữa năm cho biết giải thích có ổn định không.</w:t>
      </w:r>
    </w:p>
    <w:p>
      <w:pPr>
        <w:spacing w:after="120" w:line="360"/>
        <w:jc w:val="both"/>
      </w:pPr>
      <w:r>
        <w:rPr>
          <w:rFonts w:ascii="Times New Roman" w:cs="Times New Roman" w:eastAsia="Times New Roman" w:hAnsi="Times New Roman"/>
          <w:b/>
          <w:bCs/>
          <w:sz w:val="24"/>
          <w:szCs w:val="24"/>
        </w:rPr>
        <w:t xml:space="preserve">Demo code Bước 6a (vòng lặp năm mô hình, năm seed):</w:t>
      </w:r>
    </w:p>
    <w:p>
      <w:pPr>
        <w:shd w:fill="1E1E1E" w:color="auto" w:val="clear"/>
        <w:spacing w:after="0" w:line="240"/>
        <w:jc w:val="left"/>
      </w:pPr>
      <w:r>
        <w:rPr>
          <w:rFonts w:ascii="Consolas" w:cs="Consolas" w:eastAsia="Consolas" w:hAnsi="Consolas"/>
          <w:color w:val="6A9955"/>
          <w:sz w:val="17"/>
          <w:szCs w:val="17"/>
        </w:rPr>
        <w:t xml:space="preserve"># Step 6a: loop over five models and five seeds on the same train/test split</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numpy</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pandas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sklearn</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linear_model</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Ridge</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sklearn</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ensemble</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RandomForestRegressor</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lightgbm</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xgboost</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XGBRegressor</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sklearn</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metrics</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mean_absolute_error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mean_squared_error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MSE</w:t>
      </w:r>
    </w:p>
    <w:p>
      <w:pPr>
        <w:shd w:fill="1E1E1E" w:color="auto" w:val="clear"/>
        <w:spacing w:after="0" w:line="240"/>
        <w:jc w:val="left"/>
      </w:pPr>
      <w:r>
        <w:rPr>
          <w:rFonts w:ascii="Consolas" w:cs="Consolas" w:eastAsia="Consolas" w:hAnsi="Consolas"/>
          <w:sz w:val="17"/>
          <w:szCs w:val="17"/>
        </w:rPr>
        <w:t xml:space="preserve"> </w:t>
      </w:r>
    </w:p>
    <w:p>
      <w:pPr>
        <w:shd w:fill="1E1E1E" w:color="auto" w:val="clear"/>
        <w:spacing w:after="0" w:line="240"/>
        <w:jc w:val="left"/>
      </w:pPr>
      <w:r>
        <w:rPr>
          <w:rFonts w:ascii="Consolas" w:cs="Consolas" w:eastAsia="Consolas" w:hAnsi="Consolas"/>
          <w:color w:val="9CDCFE"/>
          <w:sz w:val="17"/>
          <w:szCs w:val="17"/>
        </w:rPr>
        <w:t xml:space="preserve">models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Ridge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Ridge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alpha</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Random Forest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RandomForestRegressor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n_jobs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LightGBM</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num_leaves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colsample_bytree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XGBoost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XGBRegressor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max_depth</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6</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colsample_bytree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rows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make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models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items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secs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seed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range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make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seed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secs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MSE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0.5</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rows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std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std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secs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DataFrame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rows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columns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model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MAE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RMSE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sd_rmse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train_s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primary metric MAE; topic metric (MAE_RUL) computed in the next cell</w:t>
      </w:r>
    </w:p>
    <w:p>
      <w:pPr>
        <w:shd w:fill="1E1E1E" w:color="auto" w:val="clear"/>
        <w:spacing w:after="0" w:line="240"/>
        <w:jc w:val="left"/>
      </w:pP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report/table_rq2.csv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3.</w:t>
      </w:r>
      <w:r>
        <w:rPr>
          <w:rFonts w:ascii="Times New Roman" w:cs="Times New Roman" w:eastAsia="Times New Roman" w:hAnsi="Times New Roman"/>
          <w:i/>
          <w:iCs/>
          <w:sz w:val="24"/>
          <w:szCs w:val="24"/>
        </w:rPr>
        <w:t xml:space="preserve"> Sai số RUL của năm mô hình nhẹ cho thấy LightGBM trên đặc trưng đường cong tiến gần GRU với chi phí suy luận thấp hơn nhiều lần. Cột màu nhấn là mô hình tốt nhất, số liệu minh hoạ định dạng bảng kết quả.</w:t>
      </w:r>
    </w:p>
    <w:p>
      <w:pPr>
        <w:spacing w:after="120" w:line="360"/>
        <w:jc w:val="both"/>
      </w:pPr>
      <w:r>
        <w:rPr>
          <w:rFonts w:ascii="Times New Roman" w:cs="Times New Roman" w:eastAsia="Times New Roman" w:hAnsi="Times New Roman"/>
          <w:b/>
          <w:bCs/>
          <w:sz w:val="24"/>
          <w:szCs w:val="24"/>
        </w:rPr>
        <w:t xml:space="preserve">Demo code Bước 6b (câu hỏi thứ ba của đề):</w:t>
      </w:r>
    </w:p>
    <w:p>
      <w:pPr>
        <w:shd w:fill="1E1E1E" w:color="auto" w:val="clear"/>
        <w:spacing w:after="0" w:line="240"/>
        <w:jc w:val="left"/>
      </w:pPr>
      <w:r>
        <w:rPr>
          <w:rFonts w:ascii="Consolas" w:cs="Consolas" w:eastAsia="Consolas" w:hAnsi="Consolas"/>
          <w:color w:val="6A9955"/>
          <w:sz w:val="17"/>
          <w:szCs w:val="17"/>
        </w:rPr>
        <w:t xml:space="preserve"># Step 6b: RQ3, inference cost, TabPFN, conformal transfer across temperature</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pickle</w:t>
      </w:r>
    </w:p>
    <w:p>
      <w:pPr>
        <w:shd w:fill="1E1E1E" w:color="auto" w:val="clear"/>
        <w:spacing w:after="0" w:line="240"/>
        <w:jc w:val="left"/>
      </w:pP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LightGBM</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Ridge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Ridge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items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1000</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ms per cycle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bytes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pickle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dumps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tabpfn</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TabPFNRegressor</w:t>
      </w:r>
    </w:p>
    <w:p>
      <w:pPr>
        <w:shd w:fill="1E1E1E" w:color="auto" w:val="clear"/>
        <w:spacing w:after="0" w:line="240"/>
        <w:jc w:val="left"/>
      </w:pPr>
      <w:r>
        <w:rPr>
          <w:rFonts w:ascii="Consolas" w:cs="Consolas" w:eastAsia="Consolas" w:hAnsi="Consolas"/>
          <w:color w:val="9CDCFE"/>
          <w:sz w:val="17"/>
          <w:szCs w:val="17"/>
        </w:rPr>
        <w:t xml:space="preserve">tp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TabPFNRegressor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loc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TabPFN MAE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conformal: calibrate on 24C cells, test on 4C and 43C cells</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mapie</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regression</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MapieRegressor</w:t>
      </w:r>
    </w:p>
    <w:p>
      <w:pPr>
        <w:shd w:fill="1E1E1E" w:color="auto" w:val="clear"/>
        <w:spacing w:after="0" w:line="240"/>
        <w:jc w:val="left"/>
      </w:pPr>
      <w:r>
        <w:rPr>
          <w:rFonts w:ascii="Consolas" w:cs="Consolas" w:eastAsia="Consolas" w:hAnsi="Consolas"/>
          <w:color w:val="9CDCFE"/>
          <w:sz w:val="17"/>
          <w:szCs w:val="17"/>
        </w:rPr>
        <w:t xml:space="preserve">cal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T_amb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24</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other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T_amb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24</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mp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MapieRegressor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600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method</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plus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cv</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cal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rul</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itv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other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alpha</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coverage at other temperatures: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other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itv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&amp;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other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itv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4.</w:t>
      </w:r>
      <w:r>
        <w:rPr>
          <w:rFonts w:ascii="Times New Roman" w:cs="Times New Roman" w:eastAsia="Times New Roman" w:hAnsi="Times New Roman"/>
          <w:i/>
          <w:iCs/>
          <w:sz w:val="24"/>
          <w:szCs w:val="24"/>
        </w:rPr>
        <w:t xml:space="preserve"> Độ bao phủ conformal trên pin ở nhiệt độ khác tăng theo số chu kỳ tái hiệu chỉnh và đạt mức 0,9 sau khoảng mười chu kỳ. Nhóm thay số liệu minh hoạ bằng kết quả chạy thật trước khi đưa vào bài.</w:t>
      </w:r>
    </w:p>
    <w:p>
      <w:pPr>
        <w:spacing w:after="120" w:line="360"/>
        <w:jc w:val="both"/>
      </w:pPr>
      <w:r>
        <w:rPr>
          <w:rFonts w:ascii="Times New Roman" w:cs="Times New Roman" w:eastAsia="Times New Roman" w:hAnsi="Times New Roman"/>
          <w:b/>
          <w:bCs/>
          <w:sz w:val="24"/>
          <w:szCs w:val="24"/>
        </w:rPr>
        <w:t xml:space="preserve">Demo code Bước 6c (SHAP và bảng tham số):</w:t>
      </w:r>
    </w:p>
    <w:p>
      <w:pPr>
        <w:shd w:fill="1E1E1E" w:color="auto" w:val="clear"/>
        <w:spacing w:after="0" w:line="240"/>
        <w:jc w:val="left"/>
      </w:pPr>
      <w:r>
        <w:rPr>
          <w:rFonts w:ascii="Consolas" w:cs="Consolas" w:eastAsia="Consolas" w:hAnsi="Consolas"/>
          <w:color w:val="6A9955"/>
          <w:sz w:val="17"/>
          <w:szCs w:val="17"/>
        </w:rPr>
        <w:t xml:space="preserve"># Step 6c: SHAP explanations and the selected parameter table</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shap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json</w:t>
      </w:r>
    </w:p>
    <w:p>
      <w:pPr>
        <w:shd w:fill="1E1E1E" w:color="auto" w:val="clear"/>
        <w:spacing w:after="0" w:line="240"/>
        <w:jc w:val="left"/>
      </w:pP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num_leaves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colsample_bytree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expl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shap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TreeExplainer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expl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shap_values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imp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DataFrame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feature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mean_abs_shap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abs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sort_values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mean_abs_shap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ascending</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imp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report/table_shap.csv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shap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summary_plot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show</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savefig</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report/fig_shap.png</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dpi</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bbox_inches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tight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json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dump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get_params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open</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report/params_best.json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indent</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parameter table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5.</w:t>
      </w:r>
      <w:r>
        <w:rPr>
          <w:rFonts w:ascii="Times New Roman" w:cs="Times New Roman" w:eastAsia="Times New Roman" w:hAnsi="Times New Roman"/>
          <w:i/>
          <w:iCs/>
          <w:sz w:val="24"/>
          <w:szCs w:val="24"/>
        </w:rPr>
        <w:t xml:space="preserve"> Mức đóng góp SHAP cho thấy độ dốc điện áp đoạn giữa và thời gian xả là hai đặc trưng chi phối, phù hợp với phát hiện của Severson và cộng sự. Giá trị chuẩn hoá về tổng bằng một để so sánh giữa các seed và các năm.</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Riêng đề này, phần mô hình và câu hỏi thứ ba: notebook mô hình theo slide RQ2 thay X_cols bằng đặc trưng chu kỳ; đo thời gian: t0 = time.perf_counter(); model.predict(X_te); (time.perf_counter()-t0)/len(X_te); kích thước: len(pickle.dumps(model)). Tuần 3: chia pin theo ambient_temperature; mapie MapieRegressor cho khoảng 90%; coverage trên pin nhiệt độ khác; tái hiệu chỉnh: lấy residual 10 chu kỳ đầu, tính phân vị 0,9, nới khoảng; SHAP TreeExplainer; vẽ bao phủ theo số chu kỳ hiệu chỉnh.</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3 kết quả năm mô hình và đối chứng; Bảng tham số chọn được; hình RQ3 (chuyển giao, bao phủ, ngưỡng cảnh báo, SHAP hoặc hiệu chuẩn tuỳ đề); một bảng ablation bỏ một nhóm đặc trưng.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trả lời RQ2 bằng một câu có số (mô hình nào, hơn mốc bao nhiêu phần trăm, chi phí bao nhiêu) và RQ3 bằng một câu có số kèm điều kiện áp dụng; nếu mô hình không thắng baseline thì nêu nguyên nhân có bằng chứng (thiếu đặc trưng, dữ liệu ít, lệch giữa tập).</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Chung cho mọi bước: cố định seed, commit GitHub mỗi buổi, lưu mọi bảng dạng CSV vào report/, và ghi prompt đã dùng vào file Audit Log cá nhân trong ngày.</w:t>
      </w:r>
    </w:p>
    <w:p>
      <w:pPr>
        <w:pStyle w:val="Heading2"/>
        <w:spacing w:after="80" w:before="160"/>
      </w:pPr>
      <w:r>
        <w:rPr>
          <w:rFonts w:ascii="Times New Roman" w:cs="Times New Roman" w:eastAsia="Times New Roman" w:hAnsi="Times New Roman"/>
          <w:b/>
          <w:bCs/>
          <w:color w:val="000000"/>
          <w:sz w:val="24"/>
          <w:szCs w:val="24"/>
        </w:rPr>
        <w:t xml:space="preserve">8.7. Hai sinh viên làm chung: hai notebook, đối chứng, test case, hỗ trợ và báo cáo</w:t>
      </w:r>
    </w:p>
    <w:p>
      <w:pPr>
        <w:spacing w:after="120" w:line="360"/>
        <w:jc w:val="both"/>
      </w:pPr>
      <w:r>
        <w:rPr>
          <w:rFonts w:ascii="Times New Roman" w:cs="Times New Roman" w:eastAsia="Times New Roman" w:hAnsi="Times New Roman"/>
          <w:b w:val="false"/>
          <w:bCs w:val="false"/>
          <w:sz w:val="24"/>
          <w:szCs w:val="24"/>
        </w:rPr>
        <w:t xml:space="preserve">Mỗi nhóm nhận hai notebook kèm theo đề cương: Notebook_A (Sinh viên A: dữ liệu, EDA, làm sạch, SQL, biểu đồ RQ1) và Notebook_B (Sinh viên B: chia dữ liệu, năm mô hình, tinh chỉnh, câu hỏi thứ ba, SHAP, chẩn đoán). Hai notebook nối nhau qua một file bàn giao duy nhất data/processed/feat.parquet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cuối mỗi bước (không trùng khoá, không thiếu ở mục tiêu, trên 30 nghìn dòng, tập kiểm thử sau tập huấn luyện, không đặc trưng nào chứa giá trị tương lai, mô hình tốt nhất thắng mốc naive), và người kia phải chạy lại notebook của bạn mình để xác nhận cùng con số, ghi vào ô Đối chứng. Khi bí, thứ tự tìm hỗ trợ là: đọc ô markdown hướng dẫn của bước đó, tra tài liệu chính thức của thư viện (pandas, DuckDB, scikit-learn, LightGBM, mapie), hỏi AI và ghi vào Audit Log, rồi mới hỏi giảng viên qua kênh nhóm với mô tả lỗi và ảnh chụp.</w:t>
      </w:r>
    </w:p>
    <w:p>
      <w:pPr>
        <w:spacing w:after="120" w:line="360"/>
        <w:jc w:val="both"/>
      </w:pPr>
      <w:r>
        <w:rPr>
          <w:rFonts w:ascii="Times New Roman" w:cs="Times New Roman" w:eastAsia="Times New Roman" w:hAnsi="Times New Roman"/>
          <w:b w:val="false"/>
          <w:bCs w:val="false"/>
          <w:sz w:val="24"/>
          <w:szCs w:val="24"/>
        </w:rPr>
        <w:t xml:space="preserve">Nhóm báo cáo tiến độ trực tiếp với giảng viên vào slot 1 (7:00 đến 9:15) của thứ Ba và thứ Sáu hằng tuần theo mẫu năm mục: (1) việc đã xong từ lần báo cáo trước kèm tên file và số dòng, bảng, hình; (2) con số chính mới có (ví dụ MAE của mốc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7:00 của ngày báo cáo.</w:t>
      </w:r>
    </w:p>
    <w:p>
      <w:pPr>
        <w:keepNext/>
        <w:spacing w:after="80" w:before="120" w:line="360"/>
        <w:jc w:val="center"/>
      </w:pPr>
      <w:r>
        <w:rPr>
          <w:rFonts w:ascii="Times New Roman" w:cs="Times New Roman" w:eastAsia="Times New Roman" w:hAnsi="Times New Roman"/>
          <w:b/>
          <w:bCs/>
          <w:i/>
          <w:iCs/>
          <w:sz w:val="24"/>
          <w:szCs w:val="24"/>
        </w:rPr>
        <w:t xml:space="preserve">Bảng 8.</w:t>
      </w:r>
      <w:r>
        <w:rPr>
          <w:rFonts w:ascii="Times New Roman" w:cs="Times New Roman" w:eastAsia="Times New Roman" w:hAnsi="Times New Roman"/>
          <w:i/>
          <w:iCs/>
          <w:sz w:val="24"/>
          <w:szCs w:val="24"/>
        </w:rPr>
        <w:t xml:space="preserve"> Phân chia hai notebook và điểm bàn giao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Notebook</w:t>
            </w:r>
          </w:p>
        </w:tc>
        <w:tc>
          <w:tcPr>
            <w:tcW w:type="dxa" w:w="3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Nội dung</w:t>
            </w:r>
          </w:p>
        </w:tc>
        <w:tc>
          <w:tcPr>
            <w:tcW w:type="dxa" w:w="39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Sản phẩm bàn giao</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Notebook_A (Sinh viên A)</w:t>
            </w:r>
          </w:p>
        </w:tc>
        <w:tc>
          <w:tcPr>
            <w:tcW w:type="dxa" w:w="3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data/processed/*.parquet, manifest.json, report/table_*.csv, report/fig_rq1_*.png</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Notebook_B (Sinh viên B)</w:t>
            </w:r>
          </w:p>
        </w:tc>
        <w:tc>
          <w:tcPr>
            <w:tcW w:type="dxa" w:w="3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Kiểm tra manifest; Bước 4 chia dữ liệu và bảng đặc trưng; Bước 6a năm mô hình, giải thích chỉ số, hình so sánh, tinh chỉnh có và không; Bước 6b câu hỏi thứ ba; Bước 6c SHAP; chẩn đoán vì sao tốt và chưa tốt, hướng cải thiện; test case; báo cáo</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report/table_rq2.csv, table_tuning.csv, table_rq3_*.csv, fig_rq2_*.png, fig_rq3_*.png, params_best.json</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Đối chứng chéo</w:t>
            </w:r>
          </w:p>
        </w:tc>
        <w:tc>
          <w:tcPr>
            <w:tcW w:type="dxa" w:w="3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chạy lại Notebook_B, B chạy lại Notebook_A trên máy mình; so số dòng, metric, mã băm</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Ô Đối chứng trong mỗi notebook có chữ ký hai người</w:t>
            </w:r>
          </w:p>
        </w:tc>
      </w:tr>
    </w:tbl>
    <w:p>
      <w:pPr>
        <w:pStyle w:val="Heading2"/>
        <w:spacing w:after="80" w:before="160"/>
      </w:pPr>
      <w:r>
        <w:rPr>
          <w:rFonts w:ascii="Times New Roman" w:cs="Times New Roman" w:eastAsia="Times New Roman" w:hAnsi="Times New Roman"/>
          <w:b/>
          <w:bCs/>
          <w:color w:val="000000"/>
          <w:sz w:val="24"/>
          <w:szCs w:val="24"/>
        </w:rPr>
        <w:t xml:space="preserve">8.8. Vừa làm vừa hỏi AI và ghi Audit Log sao cho nhẹ nhàng, đúng nhịp</w:t>
      </w:r>
    </w:p>
    <w:p>
      <w:pPr>
        <w:spacing w:after="120" w:line="360"/>
        <w:jc w:val="both"/>
      </w:pPr>
      <w:r>
        <w:rPr>
          <w:rFonts w:ascii="Times New Roman" w:cs="Times New Roman" w:eastAsia="Times New Roman" w:hAnsi="Times New Roman"/>
          <w:b w:val="false"/>
          <w:bCs w:val="false"/>
          <w:sz w:val="24"/>
          <w:szCs w:val="24"/>
        </w:rPr>
        <w:t xml:space="preserve">AI là bạn cùng làm chứ không phải người làm thay, nên sinh viên được hỏi AI ở mọi bước và không cần giấu; điều duy nhất phải giữ là kiểm tra một lần trước khi dùng và ghi lại trong hai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chấm theo số dòng log. Nhịp làm việc là mỗi ngày một giờ rưỡi đến hai giờ vào đúng bước của tuần, xong một ô thì commit, và báo cáo năm mục ở slot 1 thứ Ba và thứ Sáu dù kết quả chưa đẹp; nhóm báo cáo đều sáu lần trong ba tuần luôn có bài, nhóm im lặng đến tuần 3 thường không kịp.</w:t>
      </w:r>
    </w:p>
    <w:p>
      <w:pPr>
        <w:keepNext/>
        <w:spacing w:after="80" w:before="120" w:line="360"/>
        <w:jc w:val="center"/>
      </w:pPr>
      <w:r>
        <w:rPr>
          <w:rFonts w:ascii="Times New Roman" w:cs="Times New Roman" w:eastAsia="Times New Roman" w:hAnsi="Times New Roman"/>
          <w:b/>
          <w:bCs/>
          <w:i/>
          <w:iCs/>
          <w:sz w:val="24"/>
          <w:szCs w:val="24"/>
        </w:rPr>
        <w:t xml:space="preserve">Bảng 9.</w:t>
      </w:r>
      <w:r>
        <w:rPr>
          <w:rFonts w:ascii="Times New Roman" w:cs="Times New Roman" w:eastAsia="Times New Roman" w:hAnsi="Times New Roman"/>
          <w:i/>
          <w:iCs/>
          <w:sz w:val="24"/>
          <w:szCs w:val="24"/>
        </w:rPr>
        <w:t xml:space="preserve"> Prompt gợi ý cho từng bước và cách kiểm tra câu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tblHeader/>
        </w:trPr>
        <w:tc>
          <w:tcPr>
            <w:tcW w:type="dxa" w:w="1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Bước</w:t>
            </w:r>
          </w:p>
        </w:tc>
        <w:tc>
          <w:tcPr>
            <w:tcW w:type="dxa" w:w="4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Prompt gợi ý (rút gọn)</w:t>
            </w:r>
          </w:p>
        </w:tc>
        <w:tc>
          <w:tcPr>
            <w:tcW w:type="dxa" w:w="36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Cách kiểm tra trước khi dùng</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Giải thích cột X, Y trong tài liệu dữ liệu này có nghĩa gì và đơn vị gì</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Đối chiếu với data dictionary của cơ quan</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Tôi có bảng thiếu như sau, với chuỗi thời gian theo trạm nên xử lý thiếu thế nào</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Thử trên một trạm, so số dòng trước sau</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Viết truy vấn DuckDB tính trung bình trượt 7 ngày theo trạm và mục tiêu ngày kế tiếp</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Tính tay 10 dòng của một trạm</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Với dữ liệu theo thời gian nên chia train test thế nào để không rò rỉ</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Kiểm tra min của test lớn hơn max của train</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5</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Sửa hàm matplotlib này để bỏ viền trên và phải, số in đậm trên cột</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Mở file PNG và xem</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Giải thích MAE, RMSE, MAPE khác nhau thế nào và khi nào dùng cái nào cho bài của tôi</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So với bảng chỉ số trong Notebook_B</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LightGBM kém naive, hãy liệt kê nguyên nhân có thể và cách kiểm tra từng nguyên nhân</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Chạy từng kiểm tra, ghi kết quả vào bảng chẩn đoán</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Viết bài</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Sửa đoạn này cho mạch lạc, giữ nguyên số liệu và trích dẫn</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So từng con số với file CSV trong report</w:t>
            </w:r>
          </w:p>
        </w:tc>
      </w:tr>
    </w:tbl>
    <w:p>
      <w:pPr>
        <w:pStyle w:val="Heading1"/>
        <w:keepNext/>
        <w:spacing w:after="120" w:before="240"/>
      </w:pPr>
      <w:r>
        <w:rPr>
          <w:rFonts w:ascii="Times New Roman" w:cs="Times New Roman" w:eastAsia="Times New Roman" w:hAnsi="Times New Roman"/>
          <w:b/>
          <w:bCs/>
          <w:color w:val="000000"/>
          <w:sz w:val="26"/>
          <w:szCs w:val="26"/>
        </w:rPr>
        <w:t xml:space="preserve">9. PAPER WRITING GUIDE / CÁCH VIẾT BÀI HỘI NGHỊ (LNCS 12-15 TRANG)</w:t>
      </w:r>
    </w:p>
    <w:p>
      <w:pPr>
        <w:spacing w:after="120" w:line="360"/>
        <w:jc w:val="both"/>
      </w:pPr>
      <w:r>
        <w:rPr>
          <w:rFonts w:ascii="Times New Roman" w:cs="Times New Roman" w:eastAsia="Times New Roman" w:hAnsi="Times New Roman"/>
          <w:b w:val="false"/>
          <w:bCs w:val="false"/>
          <w:sz w:val="24"/>
          <w:szCs w:val="24"/>
        </w:rPr>
        <w:t xml:space="preserve">Bài thứ nhất viết bằng tiếng Anh theo mẫu LNCS của Springer trên Overleaf; giảng viên hướng dẫn viết Introduction, Discussion, Conclusion và chọn hội nghị, còn sinh viên viết Method, Experimental setup và Results theo dàn ý dưới đây. Tiêu đề không dùng dấu hai chấm và dấu hỏi; abstract ít số, không có số âm; mỗi đoạn từ năm câu; hình dùng chữ tiếng Anh, bỏ viền trên và phải, số in đậm trên cột; bảng có tên cụ thể thay cho "This paper".</w:t>
      </w:r>
    </w:p>
    <w:p>
      <w:pPr>
        <w:keepNext/>
        <w:spacing w:after="80" w:before="120" w:line="360"/>
        <w:jc w:val="center"/>
      </w:pPr>
      <w:r>
        <w:rPr>
          <w:rFonts w:ascii="Times New Roman" w:cs="Times New Roman" w:eastAsia="Times New Roman" w:hAnsi="Times New Roman"/>
          <w:b/>
          <w:bCs/>
          <w:i/>
          <w:iCs/>
          <w:sz w:val="24"/>
          <w:szCs w:val="24"/>
        </w:rPr>
        <w:t xml:space="preserve">Bảng 10.</w:t>
      </w:r>
      <w:r>
        <w:rPr>
          <w:rFonts w:ascii="Times New Roman" w:cs="Times New Roman" w:eastAsia="Times New Roman" w:hAnsi="Times New Roman"/>
          <w:i/>
          <w:iCs/>
          <w:sz w:val="24"/>
          <w:szCs w:val="24"/>
        </w:rPr>
        <w:t xml:space="preserve"> Dàn ý bài báo và nguồn nội dung từ đề cương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 của bài</w:t>
            </w:r>
          </w:p>
        </w:tc>
        <w:tc>
          <w:tcPr>
            <w:tcW w:type="dxa" w:w="4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Viết gì</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Lấy từ đâu</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Abstract (150-200 từ)</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Bài toán, dữ liệu, ba câu hỏi, phương pháp, hai kết quả chính, đóng góp</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Abstract của đề cương, rút gọn</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 Introduction (1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Bối cảnh, chỗ trống, ba đóng góp dạng gạch đầu dòng, cấu trúc bài</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1.2 và 1.3</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 Related work (1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 nhóm bài: dữ liệu và mô hình cổ điển, mô hình nền và mốc đơn giản, hướng RQ3</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1.1</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 Data and preprocessing (1,5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Nguồn, quy mô, nhật ký làm sạch, ghép nguồn, đặc trưng SQL; Bảng mô tả dữ liệu</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1-2, report/</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 Method and experimental setup (2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Năm mô hình, cách chia, seed, metric, giao thức RQ3; Hình pipeline</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5</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5 Results (3-4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RQ1, bảng RQ2 có trung bình và độ lệch, hình RQ3, ablation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2-3, report/</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 Discussion (1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Ý nghĩa cho người vận hành, giới hạn dữ liệu, so với bài baseline</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viết từ kết quả</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7 Conclusion (0,5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Trả lời ba câu hỏi bằng ba câu, việc tiếp theo</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viết</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References (15-25 mục)</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APA hoặc splncs04 BibTeX; mọi mục có DOI</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References</w:t>
            </w:r>
          </w:p>
        </w:tc>
      </w:tr>
    </w:tbl>
    <w:p>
      <w:pPr>
        <w:pStyle w:val="Heading1"/>
        <w:keepNext/>
        <w:spacing w:after="120" w:before="240"/>
      </w:pPr>
      <w:r>
        <w:rPr>
          <w:rFonts w:ascii="Times New Roman" w:cs="Times New Roman" w:eastAsia="Times New Roman" w:hAnsi="Times New Roman"/>
          <w:b/>
          <w:bCs/>
          <w:color w:val="000000"/>
          <w:sz w:val="26"/>
          <w:szCs w:val="26"/>
        </w:rPr>
        <w:t xml:space="preserve">10. AUTHORSHIP AND NEXT STEP / TÁC GIẢ VÀ BƯỚC TIẾP THEO</w:t>
      </w:r>
    </w:p>
    <w:p>
      <w:pPr>
        <w:spacing w:after="120" w:line="360"/>
        <w:jc w:val="both"/>
      </w:pPr>
      <w:r>
        <w:rPr>
          <w:rFonts w:ascii="Times New Roman" w:cs="Times New Roman" w:eastAsia="Times New Roman" w:hAnsi="Times New Roman"/>
          <w:b w:val="false"/>
          <w:bCs w:val="false"/>
          <w:sz w:val="24"/>
          <w:szCs w:val="24"/>
        </w:rPr>
        <w:t xml:space="preserve">Bài thứ nhất do giảng viên hướng dẫn đứng tên tác giả chính và tác giả liên hệ, hai sinh viên là đồng tác giả theo thứ tự đóng góp, kèm ghi chú đóng góp của từng người; hội nghị nộp bài do giảng viên chọn theo kết quả thực tế của nhóm. Ngay từ tuần 3, khi đã nắm sáu bước và đã có kết quả sơ bộ, nhóm bắt đầu viết đề cương mới theo cùng template: giữ nguồn dữ liệu nhưng đổi phạm vi (vùng, năm, tầm dự báo, đơn vị) và đặt ba câu hỏi nghiên cứu mới theo một trong ba hướng Efficient, Trustworthy, Multimodal AI, sao cho không trùng câu hỏi của bài thứ nhất. Tuần 4 nhóm nộp đề cương mới trên LMS để giảng viên duyệt, rồi triển khai đủ bảy bước của môn, kể cả Bước 7 dashboard, trên câu hỏi mới. Bản thảo thứ hai viết theo mẫu Springer LNCS 12 trang, sinh viên là tác giả chính và giảng viên là tác giả hướng dẫn, nộp hội nghị Scopus Q4 (cụm MIR Labs hoặc INSTICC) trước 20-22/10/2026, và cũng là Final Report nộp tuần 9 của môn.</w:t>
      </w:r>
    </w:p>
    <w:p>
      <w:pPr>
        <w:keepNext/>
        <w:spacing w:after="80" w:before="120" w:line="360"/>
        <w:jc w:val="center"/>
      </w:pPr>
      <w:r>
        <w:rPr>
          <w:rFonts w:ascii="Times New Roman" w:cs="Times New Roman" w:eastAsia="Times New Roman" w:hAnsi="Times New Roman"/>
          <w:b/>
          <w:bCs/>
          <w:i/>
          <w:iCs/>
          <w:sz w:val="24"/>
          <w:szCs w:val="24"/>
        </w:rPr>
        <w:t xml:space="preserve">Bảng 11.</w:t>
      </w:r>
      <w:r>
        <w:rPr>
          <w:rFonts w:ascii="Times New Roman" w:cs="Times New Roman" w:eastAsia="Times New Roman" w:hAnsi="Times New Roman"/>
          <w:i/>
          <w:iCs/>
          <w:sz w:val="24"/>
          <w:szCs w:val="24"/>
        </w:rPr>
        <w:t xml:space="preserve"> Hai bài báo của nhóm trong học kỳ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w:t>
            </w:r>
          </w:p>
        </w:tc>
        <w:tc>
          <w:tcPr>
            <w:tcW w:type="dxa" w:w="3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Bài 1 (giảng viên chọn hội nghị)</w:t>
            </w:r>
          </w:p>
        </w:tc>
        <w:tc>
          <w:tcPr>
            <w:tcW w:type="dxa" w:w="3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Bài 2 (hội nghị Scopus Q4)</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Tác giả chính</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Giảng viên</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Sinh viên (hai người), giảng viên hướng dẫn</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Câu hỏi</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 câu hỏi trong đề cương này</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 câu hỏi mới do nhóm đề xuất từ tuần 3, giảng viên duyệt tuần 4</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Phạm vi dữ liệu</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Như mục 3</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Cùng nguồn, đổi vùng, năm, tầm hoặc đơn vị</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Các bước</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Sáu bước đầu, không dashboard</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Đủ bảy bước, có dashboard</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Mẫu và độ dài</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LNCS hoặc CCIS, 12-15 trang</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Springer LNCS 12 trang (cũng là Final Report)</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Hạn nộp</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Dự kiến cuối tháng 9/2026, theo hội nghị giảng viên chọn</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20-22/10/2026, tuỳ hội nghị</w:t>
            </w:r>
          </w:p>
        </w:tc>
      </w:tr>
    </w:tbl>
    <w:p>
      <w:pPr>
        <w:pStyle w:val="Heading1"/>
        <w:keepNext/>
        <w:spacing w:after="120" w:before="240"/>
      </w:pPr>
      <w:r>
        <w:rPr>
          <w:rFonts w:ascii="Times New Roman" w:cs="Times New Roman" w:eastAsia="Times New Roman" w:hAnsi="Times New Roman"/>
          <w:b/>
          <w:bCs/>
          <w:color w:val="000000"/>
          <w:sz w:val="26"/>
          <w:szCs w:val="26"/>
        </w:rPr>
        <w:t xml:space="preserve">11. APPENDIX / PHỤ LỤC</w:t>
      </w:r>
    </w:p>
    <w:p>
      <w:pPr>
        <w:pStyle w:val="Heading2"/>
        <w:spacing w:after="80" w:before="160"/>
      </w:pPr>
      <w:r>
        <w:rPr>
          <w:rFonts w:ascii="Times New Roman" w:cs="Times New Roman" w:eastAsia="Times New Roman" w:hAnsi="Times New Roman"/>
          <w:b/>
          <w:bCs/>
          <w:color w:val="000000"/>
          <w:sz w:val="24"/>
          <w:szCs w:val="24"/>
        </w:rPr>
        <w:t xml:space="preserve">11.1. Checklist tự duyệt trước khi nộp bài</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Tiêu đề không có dấu hai chấm và dấu hỏi; keyword ngăn bằng dấu phẩy; abstract ít số, không số âm, dưới 200 từ.</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Mỗi đoạn từ năm câu, không câu đơn ở đầu và cuối đoạn; không lặp từ và lặp khuôn câu; dùng ký hiệu % thay chữ.</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Tiêu đề mục ngắn, không chứa what, where, when, why, which; Introduction gọn, ba đóng góp rõ.</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Mọi hình chữ tiếng Anh, bỏ viền trên và phải, số in đậm trên cột, không thanh sai số, không chữ đè cột; caption là câu hoàn chỉnh nêu kết luận.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Bảng kết quả có trung bình và độ lệch năm seed, hàng mốc và hàng baseline, in đậm tốt nhất, có cột chi phí; không dùng nhãn "This paper".</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Mọi tài liệu tham khảo có DOI hoặc link mở được; định dạng splncs04 trong LaTeX.</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Kho GitHub chạy lại toàn bộ bằng một lệnh; README ghi link dữ liệu gốc và giấy phép; requirements.txt đầy đủ.</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Audit Log cá nhân của hai sinh viên có đủ prompt cho tuần 1 đến 3; mọi đoạn văn do AI gợi ý đã được viết lại bằng con số của nhóm.</w:t>
      </w:r>
    </w:p>
    <w:p>
      <w:pPr>
        <w:pStyle w:val="Heading2"/>
        <w:spacing w:after="80" w:before="160"/>
      </w:pPr>
      <w:r>
        <w:rPr>
          <w:rFonts w:ascii="Times New Roman" w:cs="Times New Roman" w:eastAsia="Times New Roman" w:hAnsi="Times New Roman"/>
          <w:b/>
          <w:bCs/>
          <w:color w:val="000000"/>
          <w:sz w:val="24"/>
          <w:szCs w:val="24"/>
        </w:rPr>
        <w:t xml:space="preserve">11.2. Mẫu LaTeX cho bảng kết quả và hình</w:t>
      </w:r>
    </w:p>
    <w:p>
      <w:pPr>
        <w:shd w:fill="F2F2F2" w:color="auto" w:val="clear"/>
        <w:spacing w:after="0" w:line="240"/>
        <w:jc w:val="left"/>
      </w:pPr>
      <w:r>
        <w:rPr>
          <w:rFonts w:ascii="Consolas" w:cs="Consolas" w:eastAsia="Consolas" w:hAnsi="Consolas"/>
          <w:sz w:val="17"/>
          <w:szCs w:val="17"/>
        </w:rPr>
        <w:t xml:space="preserve">\begin{table}[t]</w:t>
      </w:r>
    </w:p>
    <w:p>
      <w:pPr>
        <w:shd w:fill="F2F2F2" w:color="auto" w:val="clear"/>
        <w:spacing w:after="0" w:line="240"/>
        <w:jc w:val="left"/>
      </w:pPr>
      <w:r>
        <w:rPr>
          <w:rFonts w:ascii="Consolas" w:cs="Consolas" w:eastAsia="Consolas" w:hAnsi="Consolas"/>
          <w:sz w:val="17"/>
          <w:szCs w:val="17"/>
        </w:rPr>
        <w:t xml:space="preserve">\centering</w:t>
      </w:r>
    </w:p>
    <w:p>
      <w:pPr>
        <w:shd w:fill="F2F2F2" w:color="auto" w:val="clear"/>
        <w:spacing w:after="0" w:line="240"/>
        <w:jc w:val="left"/>
      </w:pPr>
      <w:r>
        <w:rPr>
          <w:rFonts w:ascii="Consolas" w:cs="Consolas" w:eastAsia="Consolas" w:hAnsi="Consolas"/>
          <w:sz w:val="17"/>
          <w:szCs w:val="17"/>
        </w:rPr>
        <w:t xml:space="preserve">\caption{Next-day error on the held-out quarter, mean $\pm$ standard deviation over five seeds; the best value is in bold.}</w:t>
      </w:r>
    </w:p>
    <w:p>
      <w:pPr>
        <w:shd w:fill="F2F2F2" w:color="auto" w:val="clear"/>
        <w:spacing w:after="0" w:line="240"/>
        <w:jc w:val="left"/>
      </w:pPr>
      <w:r>
        <w:rPr>
          <w:rFonts w:ascii="Consolas" w:cs="Consolas" w:eastAsia="Consolas" w:hAnsi="Consolas"/>
          <w:sz w:val="17"/>
          <w:szCs w:val="17"/>
        </w:rPr>
        <w:t xml:space="preserve">\label{tab:rq2}</w:t>
      </w:r>
    </w:p>
    <w:p>
      <w:pPr>
        <w:shd w:fill="F2F2F2" w:color="auto" w:val="clear"/>
        <w:spacing w:after="0" w:line="240"/>
        <w:jc w:val="left"/>
      </w:pPr>
      <w:r>
        <w:rPr>
          <w:rFonts w:ascii="Consolas" w:cs="Consolas" w:eastAsia="Consolas" w:hAnsi="Consolas"/>
          <w:sz w:val="17"/>
          <w:szCs w:val="17"/>
        </w:rPr>
        <w:t xml:space="preserve">\begin{tabular}{lrrrr}</w:t>
      </w:r>
    </w:p>
    <w:p>
      <w:pPr>
        <w:shd w:fill="F2F2F2" w:color="auto" w:val="clear"/>
        <w:spacing w:after="0" w:line="240"/>
        <w:jc w:val="left"/>
      </w:pPr>
      <w:r>
        <w:rPr>
          <w:rFonts w:ascii="Consolas" w:cs="Consolas" w:eastAsia="Consolas" w:hAnsi="Consolas"/>
          <w:sz w:val="17"/>
          <w:szCs w:val="17"/>
        </w:rPr>
        <w:t xml:space="preserve">\toprule</w:t>
      </w:r>
    </w:p>
    <w:p>
      <w:pPr>
        <w:shd w:fill="F2F2F2" w:color="auto" w:val="clear"/>
        <w:spacing w:after="0" w:line="240"/>
        <w:jc w:val="left"/>
      </w:pPr>
      <w:r>
        <w:rPr>
          <w:rFonts w:ascii="Consolas" w:cs="Consolas" w:eastAsia="Consolas" w:hAnsi="Consolas"/>
          <w:sz w:val="17"/>
          <w:szCs w:val="17"/>
        </w:rPr>
        <w:t xml:space="preserve">Model &amp; MAE &amp; RMSE &amp; MAPE (\%) &amp; Train (s) \\</w:t>
      </w:r>
    </w:p>
    <w:p>
      <w:pPr>
        <w:shd w:fill="F2F2F2" w:color="auto" w:val="clear"/>
        <w:spacing w:after="0" w:line="240"/>
        <w:jc w:val="left"/>
      </w:pPr>
      <w:r>
        <w:rPr>
          <w:rFonts w:ascii="Consolas" w:cs="Consolas" w:eastAsia="Consolas" w:hAnsi="Consolas"/>
          <w:sz w:val="17"/>
          <w:szCs w:val="17"/>
        </w:rPr>
        <w:t xml:space="preserve">\midrule</w:t>
      </w:r>
    </w:p>
    <w:p>
      <w:pPr>
        <w:shd w:fill="F2F2F2" w:color="auto" w:val="clear"/>
        <w:spacing w:after="0" w:line="240"/>
        <w:jc w:val="left"/>
      </w:pPr>
      <w:r>
        <w:rPr>
          <w:rFonts w:ascii="Consolas" w:cs="Consolas" w:eastAsia="Consolas" w:hAnsi="Consolas"/>
          <w:sz w:val="17"/>
          <w:szCs w:val="17"/>
        </w:rPr>
        <w:t xml:space="preserve">Seasonal naive &amp; 6.8 $\pm$ 0.0 &amp; 9.9 $\pm$ 0.0 &amp; 31.2 &amp; 0 \\</w:t>
      </w:r>
    </w:p>
    <w:p>
      <w:pPr>
        <w:shd w:fill="F2F2F2" w:color="auto" w:val="clear"/>
        <w:spacing w:after="0" w:line="240"/>
        <w:jc w:val="left"/>
      </w:pPr>
      <w:r>
        <w:rPr>
          <w:rFonts w:ascii="Consolas" w:cs="Consolas" w:eastAsia="Consolas" w:hAnsi="Consolas"/>
          <w:sz w:val="17"/>
          <w:szCs w:val="17"/>
        </w:rPr>
        <w:t xml:space="preserve">SARIMA (baseline) &amp; 5.9 $\pm$ 0.1 &amp; 8.7 $\pm$ 0.2 &amp; 27.4 &amp; 45 \\</w:t>
      </w:r>
    </w:p>
    <w:p>
      <w:pPr>
        <w:shd w:fill="F2F2F2" w:color="auto" w:val="clear"/>
        <w:spacing w:after="0" w:line="240"/>
        <w:jc w:val="left"/>
      </w:pPr>
      <w:r>
        <w:rPr>
          <w:rFonts w:ascii="Consolas" w:cs="Consolas" w:eastAsia="Consolas" w:hAnsi="Consolas"/>
          <w:sz w:val="17"/>
          <w:szCs w:val="17"/>
        </w:rPr>
        <w:t xml:space="preserve">Ridge &amp; 5.4 $\pm$ 0.1 &amp; 8.1 $\pm$ 0.2 &amp; 25.0 &amp; 2 \\</w:t>
      </w:r>
    </w:p>
    <w:p>
      <w:pPr>
        <w:shd w:fill="F2F2F2" w:color="auto" w:val="clear"/>
        <w:spacing w:after="0" w:line="240"/>
        <w:jc w:val="left"/>
      </w:pPr>
      <w:r>
        <w:rPr>
          <w:rFonts w:ascii="Consolas" w:cs="Consolas" w:eastAsia="Consolas" w:hAnsi="Consolas"/>
          <w:sz w:val="17"/>
          <w:szCs w:val="17"/>
        </w:rPr>
        <w:t xml:space="preserve">Random forest &amp; 5.1 $\pm$ 0.2 &amp; 7.6 $\pm$ 0.3 &amp; 23.8 &amp; 60 \\</w:t>
      </w:r>
    </w:p>
    <w:p>
      <w:pPr>
        <w:shd w:fill="F2F2F2" w:color="auto" w:val="clear"/>
        <w:spacing w:after="0" w:line="240"/>
        <w:jc w:val="left"/>
      </w:pPr>
      <w:r>
        <w:rPr>
          <w:rFonts w:ascii="Consolas" w:cs="Consolas" w:eastAsia="Consolas" w:hAnsi="Consolas"/>
          <w:sz w:val="17"/>
          <w:szCs w:val="17"/>
        </w:rPr>
        <w:t xml:space="preserve">\textbf{LightGBM} &amp; \textbf{4.7 $\pm$ 0.1} &amp; \textbf{7.0 $\pm$ 0.2} &amp; \textbf{21.9} &amp; 12 \\</w:t>
      </w:r>
    </w:p>
    <w:p>
      <w:pPr>
        <w:shd w:fill="F2F2F2" w:color="auto" w:val="clear"/>
        <w:spacing w:after="0" w:line="240"/>
        <w:jc w:val="left"/>
      </w:pPr>
      <w:r>
        <w:rPr>
          <w:rFonts w:ascii="Consolas" w:cs="Consolas" w:eastAsia="Consolas" w:hAnsi="Consolas"/>
          <w:sz w:val="17"/>
          <w:szCs w:val="17"/>
        </w:rPr>
        <w:t xml:space="preserve">Chronos zero-shot &amp; 5.3 $\pm$ 0.0 &amp; 7.9 $\pm$ 0.0 &amp; 24.6 &amp; 30 \\</w:t>
      </w:r>
    </w:p>
    <w:p>
      <w:pPr>
        <w:shd w:fill="F2F2F2" w:color="auto" w:val="clear"/>
        <w:spacing w:after="0" w:line="240"/>
        <w:jc w:val="left"/>
      </w:pPr>
      <w:r>
        <w:rPr>
          <w:rFonts w:ascii="Consolas" w:cs="Consolas" w:eastAsia="Consolas" w:hAnsi="Consolas"/>
          <w:sz w:val="17"/>
          <w:szCs w:val="17"/>
        </w:rPr>
        <w:t xml:space="preserve">\bottomrule</w:t>
      </w:r>
    </w:p>
    <w:p>
      <w:pPr>
        <w:shd w:fill="F2F2F2" w:color="auto" w:val="clear"/>
        <w:spacing w:after="0" w:line="240"/>
        <w:jc w:val="left"/>
      </w:pPr>
      <w:r>
        <w:rPr>
          <w:rFonts w:ascii="Consolas" w:cs="Consolas" w:eastAsia="Consolas" w:hAnsi="Consolas"/>
          <w:sz w:val="17"/>
          <w:szCs w:val="17"/>
        </w:rPr>
        <w:t xml:space="preserve">\end{tabular}</w:t>
      </w:r>
    </w:p>
    <w:p>
      <w:pPr>
        <w:shd w:fill="F2F2F2" w:color="auto" w:val="clear"/>
        <w:spacing w:after="0" w:line="240"/>
        <w:jc w:val="left"/>
      </w:pPr>
      <w:r>
        <w:rPr>
          <w:rFonts w:ascii="Consolas" w:cs="Consolas" w:eastAsia="Consolas" w:hAnsi="Consolas"/>
          <w:sz w:val="17"/>
          <w:szCs w:val="17"/>
        </w:rPr>
        <w:t xml:space="preserve">\end{table}</w:t>
      </w:r>
    </w:p>
    <w:p>
      <w:pPr>
        <w:shd w:fill="F2F2F2" w:color="auto" w:val="clear"/>
        <w:spacing w:after="0" w:line="240"/>
        <w:jc w:val="left"/>
      </w:pPr>
      <w:r>
        <w:rPr>
          <w:rFonts w:ascii="Consolas" w:cs="Consolas" w:eastAsia="Consolas" w:hAnsi="Consolas"/>
          <w:sz w:val="17"/>
          <w:szCs w:val="17"/>
        </w:rPr>
        <w:t xml:space="preserve"> </w:t>
      </w:r>
    </w:p>
    <w:p>
      <w:pPr>
        <w:shd w:fill="F2F2F2" w:color="auto" w:val="clear"/>
        <w:spacing w:after="0" w:line="240"/>
        <w:jc w:val="left"/>
      </w:pPr>
      <w:r>
        <w:rPr>
          <w:rFonts w:ascii="Consolas" w:cs="Consolas" w:eastAsia="Consolas" w:hAnsi="Consolas"/>
          <w:sz w:val="17"/>
          <w:szCs w:val="17"/>
        </w:rPr>
        <w:t xml:space="preserve">\begin{figure}[t]</w:t>
      </w:r>
    </w:p>
    <w:p>
      <w:pPr>
        <w:shd w:fill="F2F2F2" w:color="auto" w:val="clear"/>
        <w:spacing w:after="0" w:line="240"/>
        <w:jc w:val="left"/>
      </w:pPr>
      <w:r>
        <w:rPr>
          <w:rFonts w:ascii="Consolas" w:cs="Consolas" w:eastAsia="Consolas" w:hAnsi="Consolas"/>
          <w:sz w:val="17"/>
          <w:szCs w:val="17"/>
        </w:rPr>
        <w:t xml:space="preserve">\centering</w:t>
      </w:r>
    </w:p>
    <w:p>
      <w:pPr>
        <w:shd w:fill="F2F2F2" w:color="auto" w:val="clear"/>
        <w:spacing w:after="0" w:line="240"/>
        <w:jc w:val="left"/>
      </w:pPr>
      <w:r>
        <w:rPr>
          <w:rFonts w:ascii="Consolas" w:cs="Consolas" w:eastAsia="Consolas" w:hAnsi="Consolas"/>
          <w:sz w:val="17"/>
          <w:szCs w:val="17"/>
        </w:rPr>
        <w:t xml:space="preserve">\includegraphics[width=0.9\linewidth]{fig_rq3_threshold.png}</w:t>
      </w:r>
    </w:p>
    <w:p>
      <w:pPr>
        <w:shd w:fill="F2F2F2" w:color="auto" w:val="clear"/>
        <w:spacing w:after="0" w:line="240"/>
        <w:jc w:val="left"/>
      </w:pPr>
      <w:r>
        <w:rPr>
          <w:rFonts w:ascii="Consolas" w:cs="Consolas" w:eastAsia="Consolas" w:hAnsi="Consolas"/>
          <w:sz w:val="17"/>
          <w:szCs w:val="17"/>
        </w:rPr>
        <w:t xml:space="preserve">\caption{Recall and false-alarm rate as the alert threshold moves from 8 to 20; a threshold of 12 keeps recall above 0.8 at an acceptable false-alarm rate.}</w:t>
      </w:r>
    </w:p>
    <w:p>
      <w:pPr>
        <w:shd w:fill="F2F2F2" w:color="auto" w:val="clear"/>
        <w:spacing w:after="0" w:line="240"/>
        <w:jc w:val="left"/>
      </w:pPr>
      <w:r>
        <w:rPr>
          <w:rFonts w:ascii="Consolas" w:cs="Consolas" w:eastAsia="Consolas" w:hAnsi="Consolas"/>
          <w:sz w:val="17"/>
          <w:szCs w:val="17"/>
        </w:rPr>
        <w:t xml:space="preserve">\label{fig:rq3}</w:t>
      </w:r>
    </w:p>
    <w:p>
      <w:pPr>
        <w:shd w:fill="F2F2F2" w:color="auto" w:val="clear"/>
        <w:spacing w:after="0" w:line="240"/>
        <w:jc w:val="left"/>
      </w:pPr>
      <w:r>
        <w:rPr>
          <w:rFonts w:ascii="Consolas" w:cs="Consolas" w:eastAsia="Consolas" w:hAnsi="Consolas"/>
          <w:sz w:val="17"/>
          <w:szCs w:val="17"/>
        </w:rPr>
        <w:t xml:space="preserve">\end{figure}</w:t>
      </w:r>
    </w:p>
    <w:p>
      <w:pPr>
        <w:pStyle w:val="Heading2"/>
        <w:spacing w:after="80" w:before="160"/>
      </w:pPr>
      <w:r>
        <w:rPr>
          <w:rFonts w:ascii="Times New Roman" w:cs="Times New Roman" w:eastAsia="Times New Roman" w:hAnsi="Times New Roman"/>
          <w:b/>
          <w:bCs/>
          <w:color w:val="000000"/>
          <w:sz w:val="24"/>
          <w:szCs w:val="24"/>
        </w:rPr>
        <w:t xml:space="preserve">11.3. Mẫu bảng tham số chọn được</w:t>
      </w:r>
    </w:p>
    <w:p>
      <w:pPr>
        <w:keepNext/>
        <w:spacing w:after="80" w:before="120" w:line="360"/>
        <w:jc w:val="center"/>
      </w:pPr>
      <w:r>
        <w:rPr>
          <w:rFonts w:ascii="Times New Roman" w:cs="Times New Roman" w:eastAsia="Times New Roman" w:hAnsi="Times New Roman"/>
          <w:b/>
          <w:bCs/>
          <w:i/>
          <w:iCs/>
          <w:sz w:val="24"/>
          <w:szCs w:val="24"/>
        </w:rPr>
        <w:t xml:space="preserve">Bảng 12.</w:t>
      </w:r>
      <w:r>
        <w:rPr>
          <w:rFonts w:ascii="Times New Roman" w:cs="Times New Roman" w:eastAsia="Times New Roman" w:hAnsi="Times New Roman"/>
          <w:i/>
          <w:iCs/>
          <w:sz w:val="24"/>
          <w:szCs w:val="24"/>
        </w:rPr>
        <w:t xml:space="preserve"> Tham số chọn được sau tinh chỉnh trên tập validation (mẫu điền)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Mô hình</w:t>
            </w:r>
          </w:p>
        </w:tc>
        <w:tc>
          <w:tcPr>
            <w:tcW w:type="dxa" w:w="2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Tham số</w:t>
            </w:r>
          </w:p>
        </w:tc>
        <w:tc>
          <w:tcPr>
            <w:tcW w:type="dxa" w:w="2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Khoảng đã thử</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Giá trị chọn</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Ridge</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alpha</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 đến 100 (log)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1,0</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Random Forest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n_estimators, min_samples_leaf</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300-500; 1-20</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 5</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LightGBM</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learning_rate, num_leaves, n_estimators</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0,01-0,1; 15-63; early stopping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0,03; 31; 620</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XGBoost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learning_rate, max_depth, n_estimators</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0,01-0,1; 4-8; early stopping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0,03; 6; 540</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Đối chứng (theo đề)</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context_length hoặc window</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90-512 hoặc 30-90</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theo đề</w:t>
            </w:r>
          </w:p>
        </w:tc>
      </w:tr>
    </w:tbl>
    <w:p>
      <w:pPr>
        <w:pStyle w:val="Heading2"/>
        <w:spacing w:after="80" w:before="160"/>
      </w:pPr>
      <w:r>
        <w:rPr>
          <w:rFonts w:ascii="Times New Roman" w:cs="Times New Roman" w:eastAsia="Times New Roman" w:hAnsi="Times New Roman"/>
          <w:b/>
          <w:bCs/>
          <w:color w:val="000000"/>
          <w:sz w:val="24"/>
          <w:szCs w:val="24"/>
        </w:rPr>
        <w:t xml:space="preserve">11.4. Checklist phối hợp nhóm và đánh giá của giảng viên</w:t>
      </w:r>
    </w:p>
    <w:p>
      <w:pPr>
        <w:spacing w:after="120" w:line="360"/>
        <w:jc w:val="both"/>
      </w:pPr>
      <w:r>
        <w:rPr>
          <w:rFonts w:ascii="Times New Roman" w:cs="Times New Roman" w:eastAsia="Times New Roman" w:hAnsi="Times New Roman"/>
          <w:b w:val="false"/>
          <w:bCs w:val="false"/>
          <w:sz w:val="24"/>
          <w:szCs w:val="24"/>
        </w:rPr>
        <w:t xml:space="preserve">Checklist dùng chung cho hai sinh viên và giảng viên: mỗi mục có người chịu trách nhiệm, file bằng chứng trong report hoặc data, tuần phải xong và ô để giảng viên đánh dấu khi báo cáo slot 1 thứ Ba và thứ Sáu. Mục nào chưa có file bằng chứng thì coi như chưa làm.</w:t>
      </w:r>
    </w:p>
    <w:p>
      <w:pPr>
        <w:keepNext/>
        <w:spacing w:after="80" w:before="120" w:line="360"/>
        <w:jc w:val="center"/>
      </w:pPr>
      <w:r>
        <w:rPr>
          <w:rFonts w:ascii="Times New Roman" w:cs="Times New Roman" w:eastAsia="Times New Roman" w:hAnsi="Times New Roman"/>
          <w:b/>
          <w:bCs/>
          <w:i/>
          <w:iCs/>
          <w:sz w:val="24"/>
          <w:szCs w:val="24"/>
        </w:rPr>
        <w:t xml:space="preserve">Bảng 13.</w:t>
      </w:r>
      <w:r>
        <w:rPr>
          <w:rFonts w:ascii="Times New Roman" w:cs="Times New Roman" w:eastAsia="Times New Roman" w:hAnsi="Times New Roman"/>
          <w:i/>
          <w:iCs/>
          <w:sz w:val="24"/>
          <w:szCs w:val="24"/>
        </w:rPr>
        <w:t xml:space="preserve"> Checklist theo bước, bằng chứng và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200"/>
        <w:gridCol w:w="2660"/>
        <w:gridCol w:w="1000"/>
        <w:gridCol w:w="600"/>
      </w:tblGrid>
      <w:tr>
        <w:trPr>
          <w:tblHeader/>
        </w:trPr>
        <w:tc>
          <w:tcPr>
            <w:tcW w:type="dxa" w:w="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STT</w:t>
            </w:r>
          </w:p>
        </w:tc>
        <w:tc>
          <w:tcPr>
            <w:tcW w:type="dxa" w:w="3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w:t>
            </w:r>
          </w:p>
        </w:tc>
        <w:tc>
          <w:tcPr>
            <w:tcW w:type="dxa" w:w="1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Ai</w:t>
            </w:r>
          </w:p>
        </w:tc>
        <w:tc>
          <w:tcPr>
            <w:tcW w:type="dxa" w:w="26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File bằng chứng</w:t>
            </w:r>
          </w:p>
        </w:tc>
        <w:tc>
          <w:tcPr>
            <w:tcW w:type="dxa" w:w="1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Tuần</w:t>
            </w:r>
          </w:p>
        </w:tc>
        <w:tc>
          <w:tcPr>
            <w:tcW w:type="dxa" w:w="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GV</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Môi trường, requirements.txt, kho GitHub, .gitignore</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requirements.txt, README.md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Nạp dữ liệu đúng file cơ quan, trên 30 nghìn dòng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table_describe_raw.csv, profile.html</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EDA: info, describe, ghi chú, thiếu, chọn cột, thống kê</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table_describe_*.csv, table_missing.csv, table_columns.csv, table_target_by_*.csv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Làm sạch có nhật ký, ghép nguồn thứ hai trên 90% khớp</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table_cleaning_log.csv, *.parquet</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SQL Q1 đến Q4, bảng RQ1a-c có kiểm định</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sql/queries.sql, table_q*.csv, table_rq1*.csv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7 hình RQ1 có caption kết luận</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fig_rq1_*.png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Test case A qua, manifest.json bàn giao</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manifest.json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 chạy lại Notebook_A và ghi đối chứng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ô Đối chứng trong Notebook_A</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9</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Chia dữ liệu, bảng đặc trưng, mốc naive</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table_features.csv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10</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Năm mô hình năm seed, bảng RQ2, 4 hình so sánh</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table_rq2.csv, fig_rq2_*.png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Tinh chỉnh và kết luận có cần hay không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table_tuning.csv, params_tuned.json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Câu hỏi thứ ba: bảng và hình</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table_rq3_*.csv, fig_rq3_*.png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SHAP, dependence, ổn định seed, tham số</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table_shap.csv, fig_shap*.png, params_best.json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Chẩn đoán và hướng cải thiện</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table_diagnosis.csv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Test case B qua; A chạy lại Notebook_B</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ô Đối chứng trong Notebook_B</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 thảo LNCS đủ mục, mọi số từ report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 GV</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Overleaf</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Audit Log cá nhân đủ prompt tuần 1-3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AI_AuditLog_*.xlsx</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Đề cương mới với ba câu hỏi mới</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Proposal mới trên LMS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bl>
    <w:p>
      <w:pPr>
        <w:pStyle w:val="Heading2"/>
        <w:spacing w:after="80" w:before="160"/>
      </w:pPr>
      <w:r>
        <w:rPr>
          <w:rFonts w:ascii="Times New Roman" w:cs="Times New Roman" w:eastAsia="Times New Roman" w:hAnsi="Times New Roman"/>
          <w:b/>
          <w:bCs/>
          <w:color w:val="000000"/>
          <w:sz w:val="24"/>
          <w:szCs w:val="24"/>
        </w:rPr>
        <w:t xml:space="preserve">11.5. Cách chia việc hai tuần đầu cho hai sinh viên</w:t>
      </w:r>
    </w:p>
    <w:p>
      <w:pPr>
        <w:keepNext/>
        <w:spacing w:after="80" w:before="120" w:line="360"/>
        <w:jc w:val="center"/>
      </w:pPr>
      <w:r>
        <w:rPr>
          <w:rFonts w:ascii="Times New Roman" w:cs="Times New Roman" w:eastAsia="Times New Roman" w:hAnsi="Times New Roman"/>
          <w:b/>
          <w:bCs/>
          <w:i/>
          <w:iCs/>
          <w:sz w:val="24"/>
          <w:szCs w:val="24"/>
        </w:rPr>
        <w:t xml:space="preserve">Bảng 14.</w:t>
      </w:r>
      <w:r>
        <w:rPr>
          <w:rFonts w:ascii="Times New Roman" w:cs="Times New Roman" w:eastAsia="Times New Roman" w:hAnsi="Times New Roman"/>
          <w:i/>
          <w:iCs/>
          <w:sz w:val="24"/>
          <w:szCs w:val="24"/>
        </w:rPr>
        <w:t xml:space="preserve"> Phân công chi tiết tuần 1 và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200"/>
        <w:gridCol w:w="1860"/>
      </w:tblGrid>
      <w:tr>
        <w:trPr>
          <w:tblHeader/>
        </w:trPr>
        <w:tc>
          <w:tcPr>
            <w:tcW w:type="dxa" w:w="11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Ngày</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Sinh viên A</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Sinh viên B</w:t>
            </w:r>
          </w:p>
        </w:tc>
        <w:tc>
          <w:tcPr>
            <w:tcW w:type="dxa" w:w="18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Kiểm tra</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T2-T3</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Cài môi trường, tải dữ liệu, chạy Bước 1b</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Tạo GitHub, Overleaf, đọc tài liệu mô tả dữ liệu</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 chạy lại code của A</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T4-T5</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2 làm sạch, nhật ký làm sạch</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2 ghép nguồn thứ hai, kiểm tra tỷ lệ khớp</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và B đổi file kiểm tra</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T6-CN</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Điền Project Planning mục 1, 2, 5, 6</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Điền mục 3, 4, 7, 8; 3 prompt đầu vào Audit Log</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duyệt</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2 T2-T4</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3 SQL Q1 đến Q5</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4 đặc trưng, chia dữ liệu, mốc naive</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kiểm tra rò rỉ mục tiêu</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2 T5-CN</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5 hình RQ1</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6a vòng lặp năm mô hình</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 hai đọc bảng kết quả với GV</w:t>
            </w:r>
          </w:p>
        </w:tc>
      </w:tr>
    </w:tbl>
    <w:p>
      <w:pPr>
        <w:pStyle w:val="Heading2"/>
        <w:spacing w:after="80" w:before="160"/>
      </w:pPr>
      <w:r>
        <w:rPr>
          <w:rFonts w:ascii="Times New Roman" w:cs="Times New Roman" w:eastAsia="Times New Roman" w:hAnsi="Times New Roman"/>
          <w:b/>
          <w:bCs/>
          <w:color w:val="000000"/>
          <w:sz w:val="24"/>
          <w:szCs w:val="24"/>
        </w:rPr>
        <w:t xml:space="preserve">11.6. Bắt đầu từ số không và lỗi thường gặp</w:t>
      </w:r>
    </w:p>
    <w:p>
      <w:pPr>
        <w:spacing w:after="120" w:line="360"/>
        <w:jc w:val="both"/>
      </w:pPr>
      <w:r>
        <w:rPr>
          <w:rFonts w:ascii="Times New Roman" w:cs="Times New Roman" w:eastAsia="Times New Roman" w:hAnsi="Times New Roman"/>
          <w:b w:val="false"/>
          <w:bCs w:val="false"/>
          <w:sz w:val="24"/>
          <w:szCs w:val="24"/>
        </w:rPr>
        <w:t xml:space="preserve">Sinh viên chưa từng làm dự án dữ liệu vẫn làm được nếu đi đúng thứ tự: ngày đầu cài Python và VS Code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từ ô đó. Mỗi ô markdown trong notebook đều có ba phần làm gì, vì sao, kiểm tra gì, nên chỉ cần đọc ô ngay trên ô code là biết mình đang làm việc gì và vì sao. Kết quả không cần đẹp ở tuần 1, chỉ cần có file bằng chứng trong report và báo cáo đúng slot.</w:t>
      </w:r>
    </w:p>
    <w:p>
      <w:pPr>
        <w:keepNext/>
        <w:spacing w:after="80" w:before="120" w:line="360"/>
        <w:jc w:val="center"/>
      </w:pPr>
      <w:r>
        <w:rPr>
          <w:rFonts w:ascii="Times New Roman" w:cs="Times New Roman" w:eastAsia="Times New Roman" w:hAnsi="Times New Roman"/>
          <w:b/>
          <w:bCs/>
          <w:i/>
          <w:iCs/>
          <w:sz w:val="24"/>
          <w:szCs w:val="24"/>
        </w:rPr>
        <w:t xml:space="preserve">Bảng 15.</w:t>
      </w:r>
      <w:r>
        <w:rPr>
          <w:rFonts w:ascii="Times New Roman" w:cs="Times New Roman" w:eastAsia="Times New Roman" w:hAnsi="Times New Roman"/>
          <w:i/>
          <w:iCs/>
          <w:sz w:val="24"/>
          <w:szCs w:val="24"/>
        </w:rPr>
        <w:t xml:space="preserve"> Lỗi thường gặp và cách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Lỗi</w:t>
            </w:r>
          </w:p>
        </w:tc>
        <w:tc>
          <w:tcPr>
            <w:tcW w:type="dxa" w:w="3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Nguyên nhân</w:t>
            </w:r>
          </w:p>
        </w:tc>
        <w:tc>
          <w:tcPr>
            <w:tcW w:type="dxa" w:w="3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Cách sửa</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ModuleNotFoundError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cài thư viện hoặc chọn sai interpreter</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Chạy lại pip install ở Bước 0; chọn interpreter .venv</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FileNotFoundError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Đường dẫn hoặc tên file chưa đúng</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In danh sách file trong data/raw rồi sửa tên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KeyError tên cột</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Tên cột thật khác tên trong code</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In df.columns; sửa tên ở ô Bước 1 rồi chạy tiếp</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MemoryError, máy treo</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Nạp cả file lớn vào pandas</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Lọc bằng WHERE trong DuckDB; đọc parquet; giảm năm</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UnicodeDecodeError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File mã hoá khác UTF-8</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Thêm encoding latin1 hoặc để DuckDB tự đoán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ValueError could not convert</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Cột số có ký tự lạ hoặc mã thiếu</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pd.to_numeric với errors coerce rồi xem bảng thiếu</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Merge làm số dòng tăng</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Khoá ghép trùng ở bảng phụ</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drop_duplicates khoá ở bảng phụ trước khi merge</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MAE gần 0</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Rò rỉ mục tiêu vào đặc trưng</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X_cols không chứa cột y; chia theo thời gian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đổi mỗi lần chạy</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cố định seed</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random_state và np.random.seed(42)</w:t>
            </w:r>
          </w:p>
        </w:tc>
      </w:tr>
    </w:tbl>
    <w:p>
      <w:pPr>
        <w:pStyle w:val="Heading1"/>
        <w:pageBreakBefore/>
        <w:spacing w:after="120" w:before="0"/>
      </w:pPr>
      <w:r>
        <w:rPr>
          <w:rFonts w:ascii="Times New Roman" w:cs="Times New Roman" w:eastAsia="Times New Roman" w:hAnsi="Times New Roman"/>
          <w:b/>
          <w:bCs/>
          <w:color w:val="000000"/>
          <w:sz w:val="26"/>
          <w:szCs w:val="26"/>
        </w:rPr>
        <w:t xml:space="preserve">REFERENCES / TÀI LIỆU THAM KHẢO</w:t>
      </w:r>
    </w:p>
    <w:p>
      <w:pPr>
        <w:spacing w:after="60" w:line="360"/>
        <w:jc w:val="left"/>
      </w:pPr>
      <w:r>
        <w:rPr>
          <w:rFonts w:ascii="Times New Roman" w:cs="Times New Roman" w:eastAsia="Times New Roman" w:hAnsi="Times New Roman"/>
          <w:b w:val="false"/>
          <w:bCs w:val="false"/>
          <w:sz w:val="24"/>
          <w:szCs w:val="24"/>
        </w:rPr>
        <w:t xml:space="preserve">[1] Saha, B., &amp; Goebel, K. (2007). Battery Data Set. NASA Prognostics Data Repository, NASA Ames Research Center, Moffett Field, CA. https://www.nasa.gov/content/prognostics-center-of-excellence-data-set-repository</w:t>
      </w:r>
    </w:p>
    <w:p>
      <w:pPr>
        <w:spacing w:after="60" w:line="360"/>
        <w:jc w:val="left"/>
      </w:pPr>
      <w:r>
        <w:rPr>
          <w:rFonts w:ascii="Times New Roman" w:cs="Times New Roman" w:eastAsia="Times New Roman" w:hAnsi="Times New Roman"/>
          <w:b w:val="false"/>
          <w:bCs w:val="false"/>
          <w:sz w:val="24"/>
          <w:szCs w:val="24"/>
        </w:rPr>
        <w:t xml:space="preserve">[2] Severson, K. A., Attia, P. M., Jin, N., et al. (2019). Data-driven prediction of battery cycle life before capacity degradation. Nature Energy, 4, 383-391. https://doi.org/10.1038/s41560-019-0356-8</w:t>
      </w:r>
    </w:p>
    <w:p>
      <w:pPr>
        <w:spacing w:after="60" w:line="360"/>
        <w:jc w:val="left"/>
      </w:pPr>
      <w:r>
        <w:rPr>
          <w:rFonts w:ascii="Times New Roman" w:cs="Times New Roman" w:eastAsia="Times New Roman" w:hAnsi="Times New Roman"/>
          <w:b w:val="false"/>
          <w:bCs w:val="false"/>
          <w:sz w:val="24"/>
          <w:szCs w:val="24"/>
        </w:rPr>
        <w:t xml:space="preserve">[3] Hollmann, N., Muller, S., Purucker, L., et al. (2025). Accurate predictions on small data with a tabular foundation model. Nature, 637, 319-326. https://doi.org/10.1038/s41586-024-08328-6</w:t>
      </w:r>
    </w:p>
    <w:p>
      <w:pPr>
        <w:spacing w:after="60" w:line="360"/>
        <w:jc w:val="left"/>
      </w:pPr>
      <w:r>
        <w:rPr>
          <w:rFonts w:ascii="Times New Roman" w:cs="Times New Roman" w:eastAsia="Times New Roman" w:hAnsi="Times New Roman"/>
          <w:b w:val="false"/>
          <w:bCs w:val="false"/>
          <w:sz w:val="24"/>
          <w:szCs w:val="24"/>
        </w:rPr>
        <w:t xml:space="preserve">[4] Angelopoulos, A. N., &amp; Bates, S. (2023). Conformal prediction: A gentle introduction. Foundations and Trends in Machine Learning, 16(4), 494-591. https://doi.org/10.1561/2200000101</w:t>
      </w:r>
    </w:p>
    <w:p>
      <w:pPr>
        <w:spacing w:after="60" w:line="360"/>
        <w:jc w:val="left"/>
      </w:pPr>
      <w:r>
        <w:rPr>
          <w:rFonts w:ascii="Times New Roman" w:cs="Times New Roman" w:eastAsia="Times New Roman" w:hAnsi="Times New Roman"/>
          <w:b w:val="false"/>
          <w:bCs w:val="false"/>
          <w:sz w:val="24"/>
          <w:szCs w:val="24"/>
        </w:rPr>
        <w:t xml:space="preserve">[5] Ke, G., Meng, Q., Finley, T., Wang, T., Chen, W., Ma, W., Ye, Q., &amp; Liu, T.-Y. (2017). LightGBM: A highly efficient gradient boosting decision tree. Advances in Neural Information Processing Systems 30, 3146-3154.</w:t>
      </w:r>
    </w:p>
    <w:p>
      <w:pPr>
        <w:spacing w:after="60" w:line="360"/>
        <w:jc w:val="left"/>
      </w:pPr>
      <w:r>
        <w:rPr>
          <w:rFonts w:ascii="Times New Roman" w:cs="Times New Roman" w:eastAsia="Times New Roman" w:hAnsi="Times New Roman"/>
          <w:b w:val="false"/>
          <w:bCs w:val="false"/>
          <w:sz w:val="24"/>
          <w:szCs w:val="24"/>
        </w:rPr>
        <w:t xml:space="preserve">[6] Keipour, A., Mousaei, M., &amp; Scherer, S. (2021). ALFA: A dataset for UAV fault and anomaly detection. International Journal of Robotics Research, 40(2-3), 515-520. https://doi.org/10.1177/0278364920966642</w:t>
      </w:r>
    </w:p>
    <w:p>
      <w:pPr>
        <w:spacing w:after="60" w:line="360"/>
        <w:jc w:val="left"/>
      </w:pPr>
      <w:r>
        <w:rPr>
          <w:rFonts w:ascii="Times New Roman" w:cs="Times New Roman" w:eastAsia="Times New Roman" w:hAnsi="Times New Roman"/>
          <w:b w:val="false"/>
          <w:bCs w:val="false"/>
          <w:sz w:val="24"/>
          <w:szCs w:val="24"/>
        </w:rPr>
        <w:t xml:space="preserve">[7] Lundberg, S. M., &amp; Lee, S.-I. (2017). A unified approach to interpreting model predictions. Advances in Neural Information Processing Systems 30, 4765-4774. arXiv:1705.07874.</w:t>
      </w:r>
    </w:p>
    <w:p>
      <w:pPr>
        <w:spacing w:after="60" w:line="360"/>
        <w:jc w:val="left"/>
      </w:pPr>
      <w:r>
        <w:rPr>
          <w:rFonts w:ascii="Times New Roman" w:cs="Times New Roman" w:eastAsia="Times New Roman" w:hAnsi="Times New Roman"/>
          <w:b w:val="false"/>
          <w:bCs w:val="false"/>
          <w:sz w:val="24"/>
          <w:szCs w:val="24"/>
        </w:rPr>
        <w:t xml:space="preserve">[8] Grinsztajn, L., Oyallon, E., &amp; Varoquaux, G. (2022). Why do tree-based models still outperform deep learning on typical tabular data? NeurIPS Datasets and Benchmarks Track.</w:t>
      </w:r>
    </w:p>
    <w:p>
      <w:pPr>
        <w:spacing w:after="60" w:line="360"/>
        <w:jc w:val="left"/>
      </w:pPr>
      <w:r>
        <w:rPr>
          <w:rFonts w:ascii="Times New Roman" w:cs="Times New Roman" w:eastAsia="Times New Roman" w:hAnsi="Times New Roman"/>
          <w:b w:val="false"/>
          <w:bCs w:val="false"/>
          <w:sz w:val="24"/>
          <w:szCs w:val="24"/>
        </w:rPr>
        <w:t xml:space="preserve">[9] Breiman, L. (2001). Random forests. Machine Learning, 45(1), 5-32. https://doi.org/10.1023/A:1010933404324</w:t>
      </w:r>
    </w:p>
    <w:p>
      <w:pPr>
        <w:spacing w:after="60" w:line="360"/>
        <w:jc w:val="left"/>
      </w:pPr>
      <w:r>
        <w:rPr>
          <w:rFonts w:ascii="Times New Roman" w:cs="Times New Roman" w:eastAsia="Times New Roman" w:hAnsi="Times New Roman"/>
          <w:b w:val="false"/>
          <w:bCs w:val="false"/>
          <w:sz w:val="24"/>
          <w:szCs w:val="24"/>
        </w:rPr>
        <w:t xml:space="preserve">[10] Chen, T., &amp; Guestrin, C. (2016). XGBoost: A scalable tree boosting system. Proceedings of KDD 2016, 785-794. https://doi.org/10.1145/2939672.2939785</w:t>
      </w:r>
    </w:p>
    <w:p>
      <w:pPr>
        <w:spacing w:after="60" w:line="360"/>
        <w:jc w:val="left"/>
      </w:pPr>
      <w:r>
        <w:rPr>
          <w:rFonts w:ascii="Times New Roman" w:cs="Times New Roman" w:eastAsia="Times New Roman" w:hAnsi="Times New Roman"/>
          <w:b w:val="false"/>
          <w:bCs w:val="false"/>
          <w:sz w:val="24"/>
          <w:szCs w:val="24"/>
        </w:rPr>
        <w:t xml:space="preserve">[11] Pedregosa, F., Varoquaux, G., Gramfort, A., et al. (2011). Scikit-learn: Machine learning in Python. Journal of Machine Learning Research, 12, 2825-2830.</w:t>
      </w:r>
    </w:p>
    <w:p>
      <w:pPr>
        <w:spacing w:after="60" w:line="360"/>
        <w:jc w:val="left"/>
      </w:pPr>
      <w:r>
        <w:rPr>
          <w:rFonts w:ascii="Times New Roman" w:cs="Times New Roman" w:eastAsia="Times New Roman" w:hAnsi="Times New Roman"/>
          <w:b w:val="false"/>
          <w:bCs w:val="false"/>
          <w:sz w:val="24"/>
          <w:szCs w:val="24"/>
        </w:rPr>
        <w:t xml:space="preserve">[12] Raasveldt, M., &amp; Muhleisen, H. (2019). DuckDB: An embeddable analytical database. Proceedings of SIGMOD 2019, 1981-1984. https://doi.org/10.1145/3299869.3320212</w:t>
      </w:r>
    </w:p>
    <w:p>
      <w:pPr>
        <w:spacing w:after="60" w:line="360"/>
        <w:jc w:val="left"/>
      </w:pPr>
      <w:r>
        <w:rPr>
          <w:rFonts w:ascii="Times New Roman" w:cs="Times New Roman" w:eastAsia="Times New Roman" w:hAnsi="Times New Roman"/>
          <w:b w:val="false"/>
          <w:bCs w:val="false"/>
          <w:sz w:val="24"/>
          <w:szCs w:val="24"/>
        </w:rPr>
        <w:t xml:space="preserve">[13] Hoerl, A. E., &amp; Kennard, R. W. (1970). Ridge regression: Biased estimation for nonorthogonal problems. Technometrics, 12(1), 55-67. https://doi.org/10.1080/00401706.1970.10488634</w:t>
      </w:r>
    </w:p>
    <w:p>
      <w:pPr>
        <w:spacing w:after="60" w:line="360"/>
        <w:jc w:val="left"/>
      </w:pPr>
      <w:r>
        <w:rPr>
          <w:rFonts w:ascii="Times New Roman" w:cs="Times New Roman" w:eastAsia="Times New Roman" w:hAnsi="Times New Roman"/>
          <w:b w:val="false"/>
          <w:bCs w:val="false"/>
          <w:sz w:val="24"/>
          <w:szCs w:val="24"/>
        </w:rPr>
        <w:t xml:space="preserve">[14] Box, G. E. P., Jenkins, G. M., Reinsel, G. C., &amp; Ljung, G. M. (2015). Time Series Analysis: Forecasting and Control (5th ed.). Wiley. ISBN 978-1-118-67502-1.</w:t>
      </w:r>
    </w:p>
    <w:p>
      <w:pPr>
        <w:spacing w:after="60" w:line="360"/>
        <w:jc w:val="left"/>
      </w:pPr>
      <w:r>
        <w:rPr>
          <w:rFonts w:ascii="Times New Roman" w:cs="Times New Roman" w:eastAsia="Times New Roman" w:hAnsi="Times New Roman"/>
          <w:b w:val="false"/>
          <w:bCs w:val="false"/>
          <w:sz w:val="24"/>
          <w:szCs w:val="24"/>
        </w:rPr>
        <w:t xml:space="preserve">[15] Bergmeir, C., &amp; Benitez, J. M. (2012). On the use of cross-validation for time series predictor evaluation. Information Sciences, 191, 192-213. https://doi.org/10.1016/j.ins.2011.12.028</w:t>
      </w:r>
    </w:p>
    <w:p>
      <w:pPr>
        <w:spacing w:after="60" w:line="360"/>
        <w:jc w:val="left"/>
      </w:pPr>
      <w:r>
        <w:rPr>
          <w:rFonts w:ascii="Times New Roman" w:cs="Times New Roman" w:eastAsia="Times New Roman" w:hAnsi="Times New Roman"/>
          <w:b w:val="false"/>
          <w:bCs w:val="false"/>
          <w:sz w:val="24"/>
          <w:szCs w:val="24"/>
        </w:rPr>
        <w:t xml:space="preserve">[16] Demsar, J. (2006). Statistical comparisons of classifiers over multiple data sets. Journal of Machine Learning Research, 7, 1-30.</w:t>
      </w:r>
    </w:p>
    <w:p>
      <w:pPr>
        <w:spacing w:after="60" w:line="360"/>
        <w:jc w:val="left"/>
      </w:pPr>
      <w:r>
        <w:rPr>
          <w:rFonts w:ascii="Times New Roman" w:cs="Times New Roman" w:eastAsia="Times New Roman" w:hAnsi="Times New Roman"/>
          <w:b w:val="false"/>
          <w:bCs w:val="false"/>
          <w:sz w:val="24"/>
          <w:szCs w:val="24"/>
        </w:rPr>
        <w:t xml:space="preserve">[17] Molnar, C. (2022). Interpretable Machine Learning: A Guide for Making Black Box Models Explainable (2nd ed.). https://christophm.github.io/interpretable-ml-book/</w:t>
      </w:r>
    </w:p>
    <w:p>
      <w:pPr>
        <w:sectPr>
          <w:pgSz w:w="12240" w:h="15840" w:orient="portrait"/>
          <w:pgMar w:top="1440" w:right="1440" w:bottom="1440" w:left="1440" w:header="708" w:footer="708" w:gutter="0"/>
          <w:pgNumType/>
          <w:docGrid w:linePitch="360"/>
        </w:sectPr>
      </w:pPr>
    </w:p>
    <w:p>
      <w:pPr>
        <w:spacing w:after="120"/>
        <w:jc w:val="center"/>
      </w:pPr>
      <w:r>
        <w:rPr>
          <w:rFonts w:ascii="Times New Roman" w:cs="Times New Roman" w:eastAsia="Times New Roman" w:hAnsi="Times New Roman"/>
          <w:b/>
          <w:bCs/>
          <w:sz w:val="24"/>
          <w:szCs w:val="24"/>
        </w:rPr>
        <w:t xml:space="preserve">TRƯỜNG ĐẠI HỌC FPT TP.HCM</w:t>
      </w:r>
    </w:p>
    <w:p>
      <w:pPr>
        <w:spacing w:after="120"/>
        <w:jc w:val="center"/>
      </w:pPr>
      <w:r>
        <w:rPr>
          <w:rFonts w:ascii="Times New Roman" w:cs="Times New Roman" w:eastAsia="Times New Roman" w:hAnsi="Times New Roman"/>
          <w:b/>
          <w:bCs/>
          <w:sz w:val="24"/>
          <w:szCs w:val="24"/>
        </w:rPr>
        <w:t xml:space="preserve">BỘ MÔN CF</w:t>
      </w:r>
    </w:p>
    <w:p>
      <w:pPr>
        <w:spacing w:after="80" w:before="100"/>
        <w:jc w:val="center"/>
      </w:pPr>
      <w:r>
        <w:rPr>
          <w:rFonts w:ascii="Times New Roman" w:cs="Times New Roman" w:eastAsia="Times New Roman" w:hAnsi="Times New Roman"/>
          <w:b/>
          <w:bCs/>
          <w:sz w:val="28"/>
          <w:szCs w:val="28"/>
        </w:rPr>
        <w:t xml:space="preserve">CAM KẾT BẢO MẬT VÀ LIÊM CHÍNH HỌC THUẬT KHI THAM GIA DỰ ÁN NGHIÊN CỨU</w:t>
      </w:r>
    </w:p>
    <w:p>
      <w:pPr>
        <w:spacing w:after="120"/>
        <w:jc w:val="center"/>
      </w:pPr>
      <w:r>
        <w:rPr>
          <w:rFonts w:ascii="Times New Roman" w:cs="Times New Roman" w:eastAsia="Times New Roman" w:hAnsi="Times New Roman"/>
          <w:b w:val="false"/>
          <w:bCs w:val="false"/>
          <w:sz w:val="20"/>
          <w:szCs w:val="20"/>
        </w:rPr>
        <w:t xml:space="preserve">(Sinh viên in, ký, chụp và nộp trên LMS tại mục Cam kết cùng Project Planning)</w:t>
      </w:r>
    </w:p>
    <w:p>
      <w:pPr>
        <w:spacing w:after="60" w:line="330"/>
        <w:jc w:val="left"/>
      </w:pPr>
      <w:r>
        <w:rPr>
          <w:rFonts w:ascii="Times New Roman" w:cs="Times New Roman" w:eastAsia="Times New Roman" w:hAnsi="Times New Roman"/>
          <w:b/>
          <w:bCs/>
          <w:sz w:val="23"/>
          <w:szCs w:val="23"/>
        </w:rPr>
        <w:t xml:space="preserve">Môn học: </w:t>
      </w:r>
      <w:r>
        <w:rPr>
          <w:rFonts w:ascii="Times New Roman" w:cs="Times New Roman" w:eastAsia="Times New Roman" w:hAnsi="Times New Roman"/>
          <w:b w:val="false"/>
          <w:bCs w:val="false"/>
          <w:sz w:val="23"/>
          <w:szCs w:val="23"/>
        </w:rPr>
        <w:t xml:space="preserve">ADY201m  Lớp: AI2108  Học kỳ: Fall 2026</w:t>
      </w:r>
    </w:p>
    <w:p>
      <w:pPr>
        <w:spacing w:after="60" w:line="330"/>
        <w:jc w:val="left"/>
      </w:pPr>
      <w:r>
        <w:rPr>
          <w:rFonts w:ascii="Times New Roman" w:cs="Times New Roman" w:eastAsia="Times New Roman" w:hAnsi="Times New Roman"/>
          <w:b/>
          <w:bCs/>
          <w:sz w:val="23"/>
          <w:szCs w:val="23"/>
        </w:rPr>
        <w:t xml:space="preserve">Đề tài: </w:t>
      </w:r>
      <w:r>
        <w:rPr>
          <w:rFonts w:ascii="Times New Roman" w:cs="Times New Roman" w:eastAsia="Times New Roman" w:hAnsi="Times New Roman"/>
          <w:b w:val="false"/>
          <w:bCs w:val="false"/>
          <w:sz w:val="23"/>
          <w:szCs w:val="23"/>
        </w:rPr>
        <w:t xml:space="preserve">Tuổi thọ còn lại của pin UAV bằng mô hình nhẹ và khoảng tin cậy chuyển giao trên dữ liệu NASA</w:t>
      </w:r>
    </w:p>
    <w:p>
      <w:pPr>
        <w:spacing w:after="120" w:line="330"/>
        <w:jc w:val="left"/>
      </w:pPr>
      <w:r>
        <w:rPr>
          <w:rFonts w:ascii="Times New Roman" w:cs="Times New Roman" w:eastAsia="Times New Roman" w:hAnsi="Times New Roman"/>
          <w:b/>
          <w:bCs/>
          <w:sz w:val="23"/>
          <w:szCs w:val="23"/>
        </w:rPr>
        <w:t xml:space="preserve">Nhóm: </w:t>
      </w:r>
      <w:r>
        <w:rPr>
          <w:rFonts w:ascii="Times New Roman" w:cs="Times New Roman" w:eastAsia="Times New Roman" w:hAnsi="Times New Roman"/>
          <w:b w:val="false"/>
          <w:bCs w:val="false"/>
          <w:sz w:val="23"/>
          <w:szCs w:val="23"/>
        </w:rPr>
        <w:t xml:space="preserve">5  Giảng viên hướng dẫn: Lê Võ Minh Thư</w:t>
      </w:r>
    </w:p>
    <w:p>
      <w:pPr>
        <w:spacing w:after="100" w:line="330"/>
        <w:jc w:val="both"/>
      </w:pPr>
      <w:r>
        <w:rPr>
          <w:rFonts w:ascii="Times New Roman" w:cs="Times New Roman" w:eastAsia="Times New Roman" w:hAnsi="Times New Roman"/>
          <w:b w:val="false"/>
          <w:bCs w:val="false"/>
          <w:sz w:val="23"/>
          <w:szCs w:val="23"/>
        </w:rPr>
        <w:t xml:space="preserve">Ý tưởng nghiên cứu, câu hỏi, giao thức thực nghiệm và cách viết trong đề cương của dự án do giảng viên hướng dẫn đề xuất và đang trong quá trình chờ công bố, nên sinh viên tham gia dự án phải giữ bí mật toàn bộ nội dung cho đến khi công trình được công bố chính thức. Sinh viên không mang ý tưởng, dữ liệu đã xử lý, mã nguồn, kết quả trung gian hay bản thảo của dự án này sang môn học khác, sang nhóm khác, câu lạc bộ hay phòng thí nghiệm mà mình đang tham gia, và không dùng chúng làm bài tập, đồ án hay bài dự thi ở bất kỳ nơi nào khác. Mọi công bố phát sinh từ dự án đều phải có sự đồng ý bằng văn bản của giảng viên hướng dẫn về nội dung, thứ tự tác giả và nơi nộp. Việc dùng AI trong dự án được ghi đầy đủ vào Audit Log cá nhân, và mọi trích dẫn phải kiểm tra được. Vi phạm cam kết là vi phạm đạo đức và liêm chính học thuật, có thể dẫn đến việc loại khỏi dự án, không được đứng tên trong công bố và xử lý theo quy định của Trường; các cam kết này nhằm bảo vệ quyền lợi của cả sinh viên và giảng viên trong thời gian chờ công bố.</w:t>
      </w:r>
    </w:p>
    <w:p>
      <w:pPr>
        <w:spacing w:after="100" w:line="330"/>
        <w:jc w:val="both"/>
      </w:pPr>
      <w:r>
        <w:rPr>
          <w:rFonts w:ascii="Times New Roman" w:cs="Times New Roman" w:eastAsia="Times New Roman" w:hAnsi="Times New Roman"/>
          <w:b w:val="false"/>
          <w:bCs w:val="false"/>
          <w:sz w:val="23"/>
          <w:szCs w:val="23"/>
        </w:rPr>
        <w:t xml:space="preserve">Bằng việc ký dưới đây, mỗi sinh viên xác nhận đã đọc, hiểu và đồng ý thực hiện các cam kết trên trong suốt thời gian tham gia dự án và cho đến khi công trình được công bố.</w:t>
      </w:r>
    </w:p>
    <w:p>
      <w:pPr>
        <w:keepNext/>
        <w:spacing w:after="80" w:before="120" w:line="360"/>
        <w:jc w:val="center"/>
      </w:pPr>
      <w:r>
        <w:rPr>
          <w:rFonts w:ascii="Times New Roman" w:cs="Times New Roman" w:eastAsia="Times New Roman" w:hAnsi="Times New Roman"/>
          <w:b/>
          <w:bCs/>
          <w:i/>
          <w:iCs/>
          <w:sz w:val="24"/>
          <w:szCs w:val="24"/>
        </w:rPr>
        <w:t xml:space="preserve">Bảng 16.</w:t>
      </w:r>
      <w:r>
        <w:rPr>
          <w:rFonts w:ascii="Times New Roman" w:cs="Times New Roman" w:eastAsia="Times New Roman" w:hAnsi="Times New Roman"/>
          <w:i/>
          <w:iCs/>
          <w:sz w:val="24"/>
          <w:szCs w:val="24"/>
        </w:rPr>
        <w:t xml:space="preserve"> Cam kết của sinh viên tham gia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300"/>
        <w:gridCol w:w="1300"/>
        <w:gridCol w:w="14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Họ và tên</w:t>
            </w:r>
          </w:p>
        </w:tc>
        <w:tc>
          <w:tcPr>
            <w:tcW w:type="dxa" w:w="1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MSSV</w:t>
            </w:r>
          </w:p>
        </w:tc>
        <w:tc>
          <w:tcPr>
            <w:tcW w:type="dxa" w:w="2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Email</w:t>
            </w:r>
          </w:p>
        </w:tc>
        <w:tc>
          <w:tcPr>
            <w:tcW w:type="dxa" w:w="1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Ngày ký</w:t>
            </w:r>
          </w:p>
        </w:tc>
        <w:tc>
          <w:tcPr>
            <w:tcW w:type="dxa" w:w="14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Chữ ký</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bl>
    <w:p>
      <w:pPr>
        <w:spacing w:after="60" w:line="330"/>
        <w:jc w:val="both"/>
      </w:pPr>
      <w:r>
        <w:rPr>
          <w:rFonts w:ascii="Times New Roman" w:cs="Times New Roman" w:eastAsia="Times New Roman" w:hAnsi="Times New Roman"/>
          <w:b w:val="false"/>
          <w:bCs w:val="false"/>
          <w:sz w:val="23"/>
          <w:szCs w:val="23"/>
        </w:rPr>
        <w:t xml:space="preserve"> </w:t>
      </w:r>
    </w:p>
    <w:p>
      <w:pPr>
        <w:spacing w:after="60" w:line="330"/>
        <w:jc w:val="right"/>
      </w:pPr>
      <w:r>
        <w:rPr>
          <w:rFonts w:ascii="Times New Roman" w:cs="Times New Roman" w:eastAsia="Times New Roman" w:hAnsi="Times New Roman"/>
          <w:b/>
          <w:bCs/>
          <w:sz w:val="23"/>
          <w:szCs w:val="23"/>
        </w:rPr>
        <w:t xml:space="preserve">Xác nhận của giảng viên hướng dẫn</w:t>
      </w:r>
    </w:p>
    <w:p>
      <w:pPr>
        <w:spacing w:after="60" w:line="330"/>
        <w:jc w:val="right"/>
      </w:pPr>
      <w:r>
        <w:rPr>
          <w:rFonts w:ascii="Times New Roman" w:cs="Times New Roman" w:eastAsia="Times New Roman" w:hAnsi="Times New Roman"/>
          <w:b w:val="false"/>
          <w:bCs w:val="false"/>
          <w:sz w:val="23"/>
          <w:szCs w:val="23"/>
        </w:rPr>
        <w:t xml:space="preserve">TP.HCM, ngày ...... tháng ...... năm 2026.</w:t>
      </w:r>
    </w:p>
    <w:p>
      <w:pPr>
        <w:spacing w:after="60" w:line="330"/>
        <w:jc w:val="right"/>
      </w:pPr>
      <w:r>
        <w:rPr>
          <w:rFonts w:ascii="Times New Roman" w:cs="Times New Roman" w:eastAsia="Times New Roman" w:hAnsi="Times New Roman"/>
          <w:b w:val="false"/>
          <w:bCs w:val="false"/>
          <w:sz w:val="23"/>
          <w:szCs w:val="23"/>
        </w:rPr>
        <w:t xml:space="preserve"> </w:t>
      </w:r>
    </w:p>
    <w:p>
      <w:pPr>
        <w:spacing w:after="60" w:line="330"/>
        <w:jc w:val="right"/>
      </w:pPr>
      <w:r>
        <w:rPr>
          <w:rFonts w:ascii="Times New Roman" w:cs="Times New Roman" w:eastAsia="Times New Roman" w:hAnsi="Times New Roman"/>
          <w:b w:val="false"/>
          <w:bCs w:val="false"/>
          <w:sz w:val="23"/>
          <w:szCs w:val="23"/>
        </w:rPr>
        <w:t xml:space="preserve">Chữ ký: ........................</w:t>
      </w:r>
    </w:p>
    <w:p>
      <w:pPr>
        <w:spacing w:after="60" w:line="330"/>
        <w:jc w:val="right"/>
      </w:pPr>
      <w:r>
        <w:rPr>
          <w:rFonts w:ascii="Times New Roman" w:cs="Times New Roman" w:eastAsia="Times New Roman" w:hAnsi="Times New Roman"/>
          <w:b w:val="false"/>
          <w:bCs w:val="false"/>
          <w:sz w:val="23"/>
          <w:szCs w:val="23"/>
        </w:rPr>
        <w:t xml:space="preserve"> </w:t>
      </w:r>
    </w:p>
    <w:p>
      <w:pPr>
        <w:spacing w:after="60" w:line="330"/>
        <w:jc w:val="right"/>
      </w:pPr>
      <w:r>
        <w:rPr>
          <w:rFonts w:ascii="Times New Roman" w:cs="Times New Roman" w:eastAsia="Times New Roman" w:hAnsi="Times New Roman"/>
          <w:b w:val="false"/>
          <w:bCs w:val="false"/>
          <w:sz w:val="23"/>
          <w:szCs w:val="23"/>
        </w:rPr>
        <w:t xml:space="preserve">Họ và tên: Lê Võ Minh Thư,</w:t>
      </w:r>
    </w:p>
    <w:sectPr>
      <w:pgSz w:w="12240" w:h="15840" w:orient="portrait"/>
      <w:pgMar w:top="10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9820356167f73ae72e26fc5380b933728fb2a1.png"/><Relationship Id="rId8" Type="http://schemas.openxmlformats.org/officeDocument/2006/relationships/image" Target="media/b738fc2c0bb48adfae1f5d0b1ccbef95b09a166d.png"/><Relationship Id="rId9" Type="http://schemas.openxmlformats.org/officeDocument/2006/relationships/image" Target="media/aaec5bdc7f322555fea28119ade0ab4e301ed0aa.png"/><Relationship Id="rId10" Type="http://schemas.openxmlformats.org/officeDocument/2006/relationships/image" Target="media/08bef9e4b1cd4358e4dfc5a3bdce45c532e5bd79.png"/><Relationship Id="rId11" Type="http://schemas.openxmlformats.org/officeDocument/2006/relationships/image" Target="media/34e3ace9a139f4b3bc1913089179e48ca7f65c4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2026-09-08T00:44:10.980Z</dcterms:created>
  <dcterms:modified xsi:type="dcterms:W3CDTF">2026-09-08T00:44:10.980Z</dcterms:modified>
</cp:coreProperties>
</file>

<file path=docProps/custom.xml><?xml version="1.0" encoding="utf-8"?>
<Properties xmlns="http://schemas.openxmlformats.org/officeDocument/2006/custom-properties" xmlns:vt="http://schemas.openxmlformats.org/officeDocument/2006/docPropsVTypes"/>
</file>