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280" w:line="276" w:lineRule="auto"/>
        <w:jc w:val="center"/>
      </w:pPr>
      <w:r>
        <w:rPr>
          <w:rFonts w:ascii="Arial" w:hAnsi="Arial"/>
          <w:b/>
          <w:color w:val="1E3A8A"/>
          <w:sz w:val="34"/>
        </w:rPr>
        <w:t>QUY TRÌNH VẬN HÀNH TIẾP NHẬN &amp; TRA CỨU ĐƠN HÀNG (SOP)</w:t>
        <w:br/>
        <w:t>CÔNG TY CỔ PHẦN GIAO HÀNG NHANH FASTMOVE</w:t>
      </w:r>
    </w:p>
    <w:p>
      <w:pPr>
        <w:spacing w:after="320"/>
      </w:pPr>
      <w:r>
        <w:rPr>
          <w:b/>
        </w:rPr>
        <w:t>Mã tài liệu: SOP-WH-04 | Phiên bản: 2.1 | Học phần: PTUDUD (Session10_Ex03)</w:t>
        <w:br/>
      </w:r>
      <w:r>
        <w:t>Bộ phận áp dụng: Điều phối kho vận &amp; Đội ngũ Shipper FastMove | Ngày hiệu lực: 27/10/2026</w:t>
        <w:br/>
      </w:r>
    </w:p>
    <w:p>
      <w:pPr>
        <w:pStyle w:val="Heading1"/>
        <w:spacing w:before="240" w:after="120" w:line="276" w:lineRule="auto"/>
      </w:pPr>
      <w:r>
        <w:rPr>
          <w:rFonts w:ascii="Arial" w:hAnsi="Arial"/>
          <w:b/>
          <w:color w:val="1E3A8A"/>
        </w:rPr>
        <w:t>1. Mục đích và Phạm vi áp dụng</w:t>
      </w:r>
    </w:p>
    <w:p>
      <w:pPr>
        <w:spacing w:before="0" w:after="120" w:line="276" w:lineRule="auto"/>
      </w:pPr>
      <w:r>
        <w:t>Quy trình này quy định các bước tiếp nhận bưu gửi, phân loại tuyến vận chuyển và tự động hóa tính cước bằng hệ thống bảng tính Excel chuẩn hóa. Mục tiêu là loại bỏ hoàn toàn 16 giờ làm việc thủ công mỗi ngày của nhân viên kho, giảm tỷ lệ sai sót cước xuống dưới 0.05% và đẩy nhanh tốc độ bàn giao đơn cho shipper.</w:t>
      </w:r>
    </w:p>
    <w:p>
      <w:pPr>
        <w:pStyle w:val="Heading1"/>
        <w:spacing w:before="240" w:after="120" w:line="276" w:lineRule="auto"/>
      </w:pPr>
      <w:r>
        <w:rPr>
          <w:rFonts w:ascii="Arial" w:hAnsi="Arial"/>
          <w:b/>
          <w:color w:val="1E3A8A"/>
        </w:rPr>
        <w:t>2. Bộ nhận diện màu sắc thương hiệu và chuẩn định dạng</w:t>
      </w:r>
    </w:p>
    <w:p>
      <w:pPr>
        <w:spacing w:before="0" w:after="120" w:line="276" w:lineRule="auto"/>
      </w:pPr>
      <w:r>
        <w:t>Mọi biểu mẫu, bảng tính và tài liệu văn bản nội bộ của FastMove tuân thủ bảng màu thương hiệu chính thức:</w:t>
      </w:r>
    </w:p>
    <w:tbl>
      <w:tblPr>
        <w:tblW w:type="auto" w:w="0"/>
        <w:jc w:val="center"/>
        <w:tblLook w:firstColumn="1" w:firstRow="1" w:lastColumn="0" w:lastRow="0" w:noHBand="0" w:noVBand="1" w:val="04A0"/>
      </w:tblPr>
      <w:tblGrid>
        <w:gridCol w:w="3120"/>
        <w:gridCol w:w="3120"/>
        <w:gridCol w:w="3120"/>
      </w:tblGrid>
      <w:tr>
        <w:tc>
          <w:tcPr>
            <w:tcW w:type="dxa" w:w="3120"/>
            <w:shd w:fill="1E3A8A"/>
          </w:tcPr>
          <w:p>
            <w:r>
              <w:rPr>
                <w:b/>
                <w:color w:val="FFFFFF"/>
                <w:sz w:val="20"/>
              </w:rPr>
              <w:t>Vai trò màu sắc</w:t>
            </w:r>
          </w:p>
        </w:tc>
        <w:tc>
          <w:tcPr>
            <w:tcW w:type="dxa" w:w="3120"/>
            <w:shd w:fill="1E3A8A"/>
          </w:tcPr>
          <w:p>
            <w:r>
              <w:rPr>
                <w:b/>
                <w:color w:val="FFFFFF"/>
                <w:sz w:val="20"/>
              </w:rPr>
              <w:t>Mã HEX / RGB</w:t>
            </w:r>
          </w:p>
        </w:tc>
        <w:tc>
          <w:tcPr>
            <w:tcW w:type="dxa" w:w="3120"/>
            <w:shd w:fill="1E3A8A"/>
          </w:tcPr>
          <w:p>
            <w:r>
              <w:rPr>
                <w:b/>
                <w:color w:val="FFFFFF"/>
                <w:sz w:val="20"/>
              </w:rPr>
              <w:t>Ứng dụng trong tài liệu &amp; Bảng biểu</w:t>
            </w:r>
          </w:p>
        </w:tc>
      </w:tr>
      <w:tr>
        <w:tc>
          <w:tcPr>
            <w:tcW w:type="dxa" w:w="3120"/>
          </w:tcPr>
          <w:p>
            <w:r>
              <w:rPr>
                <w:sz w:val="19"/>
              </w:rPr>
              <w:t>Màu chủ đạo (Primary)</w:t>
            </w:r>
          </w:p>
        </w:tc>
        <w:tc>
          <w:tcPr>
            <w:tcW w:type="dxa" w:w="3120"/>
          </w:tcPr>
          <w:p>
            <w:r>
              <w:rPr>
                <w:sz w:val="19"/>
              </w:rPr>
              <w:t>#1E3A8A (Navy Blue)</w:t>
            </w:r>
          </w:p>
        </w:tc>
        <w:tc>
          <w:tcPr>
            <w:tcW w:type="dxa" w:w="3120"/>
          </w:tcPr>
          <w:p>
            <w:r>
              <w:rPr>
                <w:sz w:val="19"/>
              </w:rPr>
              <w:t>Tiêu đề Heading 1, Header bảng dữ liệu, Khung chính</w:t>
            </w:r>
          </w:p>
        </w:tc>
      </w:tr>
      <w:tr>
        <w:tc>
          <w:tcPr>
            <w:tcW w:type="dxa" w:w="3120"/>
          </w:tcPr>
          <w:p>
            <w:r>
              <w:rPr>
                <w:sz w:val="19"/>
              </w:rPr>
              <w:t>Màu bổ trợ (Accent)</w:t>
            </w:r>
          </w:p>
        </w:tc>
        <w:tc>
          <w:tcPr>
            <w:tcW w:type="dxa" w:w="3120"/>
          </w:tcPr>
          <w:p>
            <w:r>
              <w:rPr>
                <w:sz w:val="19"/>
              </w:rPr>
              <w:t>#F97316 (Energetic Orange)</w:t>
            </w:r>
          </w:p>
        </w:tc>
        <w:tc>
          <w:tcPr>
            <w:tcW w:type="dxa" w:w="3120"/>
          </w:tcPr>
          <w:p>
            <w:r>
              <w:rPr>
                <w:sz w:val="19"/>
              </w:rPr>
              <w:t>Nút Call-To-Action, Cảnh báo lỗi, Điểm cần chú ý cao</w:t>
            </w:r>
          </w:p>
        </w:tc>
      </w:tr>
      <w:tr>
        <w:tc>
          <w:tcPr>
            <w:tcW w:type="dxa" w:w="3120"/>
          </w:tcPr>
          <w:p>
            <w:r>
              <w:rPr>
                <w:sz w:val="19"/>
              </w:rPr>
              <w:t>Màu nền trung tính</w:t>
            </w:r>
          </w:p>
        </w:tc>
        <w:tc>
          <w:tcPr>
            <w:tcW w:type="dxa" w:w="3120"/>
          </w:tcPr>
          <w:p>
            <w:r>
              <w:rPr>
                <w:sz w:val="19"/>
              </w:rPr>
              <w:t>#F8FAFC (Slate Gray)</w:t>
            </w:r>
          </w:p>
        </w:tc>
        <w:tc>
          <w:tcPr>
            <w:tcW w:type="dxa" w:w="3120"/>
          </w:tcPr>
          <w:p>
            <w:r>
              <w:rPr>
                <w:sz w:val="19"/>
              </w:rPr>
              <w:t>Zebra striping dòng chẵn trong bảng tính, Box ghi chú</w:t>
            </w:r>
          </w:p>
        </w:tc>
      </w:tr>
    </w:tbl>
    <w:p>
      <w:pPr>
        <w:spacing w:before="0" w:after="200" w:line="276" w:lineRule="auto"/>
      </w:pPr>
    </w:p>
    <w:p>
      <w:pPr>
        <w:pStyle w:val="Heading1"/>
        <w:spacing w:before="240" w:after="120" w:line="276" w:lineRule="auto"/>
      </w:pPr>
      <w:r>
        <w:rPr>
          <w:rFonts w:ascii="Arial" w:hAnsi="Arial"/>
          <w:b/>
          <w:color w:val="1E3A8A"/>
        </w:rPr>
        <w:t>3. Quy trình 4 bước tiếp nhận đơn hàng tại kho</w:t>
      </w:r>
    </w:p>
    <w:p>
      <w:pPr>
        <w:pStyle w:val="Heading2"/>
        <w:spacing w:before="160" w:after="80" w:line="276" w:lineRule="auto"/>
      </w:pPr>
      <w:r>
        <w:rPr>
          <w:rFonts w:ascii="Arial" w:hAnsi="Arial"/>
          <w:b/>
          <w:color w:val="EA580C"/>
        </w:rPr>
        <w:t>Bước 1: Quét mã vạch tiếp nhận (Scan-in)</w:t>
      </w:r>
    </w:p>
    <w:p>
      <w:pPr>
        <w:spacing w:before="0" w:after="120" w:line="276" w:lineRule="auto"/>
      </w:pPr>
      <w:r>
        <w:t>Nhân viên kho quét barcode trên kiện hàng để ghi nhận vào hệ thống nội bộ, kiểm tra quy cách đóng gói và ngoại quan kiện hàng.</w:t>
      </w:r>
    </w:p>
    <w:p>
      <w:pPr>
        <w:pStyle w:val="Heading2"/>
        <w:spacing w:before="160" w:after="80" w:line="276" w:lineRule="auto"/>
      </w:pPr>
      <w:r>
        <w:rPr>
          <w:rFonts w:ascii="Arial" w:hAnsi="Arial"/>
          <w:b/>
          <w:color w:val="EA580C"/>
        </w:rPr>
        <w:t>Bước 2: Phân loại mã tuyến theo bảng định mức</w:t>
      </w:r>
    </w:p>
    <w:p>
      <w:pPr>
        <w:spacing w:before="0" w:after="120" w:line="276" w:lineRule="auto"/>
      </w:pPr>
      <w:r>
        <w:t>Xác định mã tuyến (từ R01 đến R08) căn cứ theo địa chỉ nhận hàng và khối lượng cân thực tế.</w:t>
      </w:r>
    </w:p>
    <w:p>
      <w:pPr>
        <w:pStyle w:val="Heading2"/>
        <w:spacing w:before="160" w:after="80" w:line="276" w:lineRule="auto"/>
      </w:pPr>
      <w:r>
        <w:rPr>
          <w:rFonts w:ascii="Arial" w:hAnsi="Arial"/>
          <w:b/>
          <w:color w:val="EA580C"/>
        </w:rPr>
        <w:t>Bước 3: Tự động tra cước bằng thuật toán liên Sheet</w:t>
      </w:r>
    </w:p>
    <w:p>
      <w:pPr>
        <w:spacing w:before="0" w:after="120" w:line="276" w:lineRule="auto"/>
      </w:pPr>
      <w:r>
        <w:t>Áp dụng công thức VLOOKUP cố định tuyệt đối vùng tra cứu ($A$2:$E$9) kết hợp hàm IFERROR để tự động điền đơn giá cước chính xác 100% trong 0.1 giây.</w:t>
      </w:r>
    </w:p>
    <w:p>
      <w:pPr>
        <w:pStyle w:val="Heading2"/>
        <w:spacing w:before="160" w:after="80" w:line="276" w:lineRule="auto"/>
      </w:pPr>
      <w:r>
        <w:rPr>
          <w:rFonts w:ascii="Arial" w:hAnsi="Arial"/>
          <w:b/>
          <w:color w:val="EA580C"/>
        </w:rPr>
        <w:t>Bước 4: Bàn giao bưu phẩm và ký nhận với Shipper</w:t>
      </w:r>
    </w:p>
    <w:p>
      <w:pPr>
        <w:spacing w:before="0" w:after="120" w:line="276" w:lineRule="auto"/>
      </w:pPr>
      <w:r>
        <w:t>In biên bản giao nhận theo tuyến, bàn giao danh sách đơn hàng cho shipper và đối soát xác nhận trên app.</w:t>
      </w:r>
    </w:p>
    <w:p>
      <w:pPr>
        <w:pStyle w:val="Heading1"/>
        <w:spacing w:before="240" w:after="120" w:line="276" w:lineRule="auto"/>
      </w:pPr>
      <w:r>
        <w:rPr>
          <w:rFonts w:ascii="Arial" w:hAnsi="Arial"/>
          <w:b/>
          <w:color w:val="1E3A8A"/>
        </w:rPr>
        <w:t>4. Ràng buộc chuẩn hóa dữ liệu (5 Quy tắc Vàng)</w:t>
      </w:r>
    </w:p>
    <w:p>
      <w:r>
        <w:t>Để công thức liên kết hoạt động ổn định trên toàn bộ 500 dòng dữ liệu, toàn bộ file tính phải tuân thủ nghiêm ngặt:</w:t>
      </w:r>
    </w:p>
    <w:p>
      <w:pPr>
        <w:spacing w:before="0" w:after="60" w:line="276" w:lineRule="auto"/>
      </w:pPr>
      <w:r>
        <w:t>• Quy tắc 1 (Cấm Merge Cell): Tuyệt đối không gộp ô trong vùng dữ liệu và tiêu đề.</w:t>
      </w:r>
    </w:p>
    <w:p>
      <w:pPr>
        <w:spacing w:before="0" w:after="60" w:line="276" w:lineRule="auto"/>
      </w:pPr>
      <w:r>
        <w:t>• Quy tắc 2 (Header duy nhất): Chỉ duy nhất 1 dòng tiêu đề tại dòng 1, không ngắt dòng làm tiêu đề 2 tầng.</w:t>
      </w:r>
    </w:p>
    <w:p>
      <w:pPr>
        <w:spacing w:before="0" w:after="60" w:line="276" w:lineRule="auto"/>
      </w:pPr>
      <w:r>
        <w:t>• Quy tắc 3 (Dữ liệu liên tục): Không chèn các dòng 'Tổng cộng / Subtotal' ở giữa bảng tính làm đứt gãy luồng tra cứu.</w:t>
      </w:r>
    </w:p>
    <w:p>
      <w:pPr>
        <w:spacing w:before="0" w:after="60" w:line="276" w:lineRule="auto"/>
      </w:pPr>
      <w:r>
        <w:t>• Quy tắc 4 (Đồng nhất kiểu dữ liệu): Cột mã vận đơn định dạng Text, cột đơn giá định dạng Number (#,##0).</w:t>
      </w:r>
    </w:p>
    <w:p>
      <w:pPr>
        <w:spacing w:before="0" w:after="60" w:line="276" w:lineRule="auto"/>
      </w:pPr>
      <w:r>
        <w:t>• Quy tắc 5 (Khoảng trắng sạch): Sử dụng TRIM và IFERROR xử lý triệt để ký tự lạ và dấu cách thừa.</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