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Arial" w:hAnsi="Arial"/>
          <w:b/>
          <w:color w:val="0F766E"/>
          <w:sz w:val="34"/>
        </w:rPr>
        <w:t>ĐẶC TẢ YÊU CẦU PHẦN MỀM (SRS)</w:t>
        <w:br/>
        <w:t>MODULE BỆNH ÁN ĐIỆN TỬ (EMR) - HỆ THỐNG CLINIC-CLOUD</w:t>
      </w:r>
    </w:p>
    <w:p>
      <w:pPr>
        <w:spacing w:after="320"/>
      </w:pPr>
      <w:r>
        <w:rPr>
          <w:b/>
        </w:rPr>
        <w:t>Mã dự án: Clinic-Cloud EMR v2.0 | Học phần: PTUDUD (Session10_Ex04)</w:t>
        <w:br/>
      </w:r>
      <w:r>
        <w:t>Tiêu chuẩn bảo mật: HIPAA Compliant, ISO 27799, Luật An toàn thông tin mạng | Ngày: 27/10/2026</w:t>
        <w:br/>
      </w:r>
    </w:p>
    <w:p>
      <w:pPr>
        <w:pStyle w:val="Heading1"/>
        <w:spacing w:before="240" w:after="120" w:line="276" w:lineRule="auto"/>
      </w:pPr>
      <w:r>
        <w:rPr>
          <w:rFonts w:ascii="Arial" w:hAnsi="Arial"/>
          <w:b/>
          <w:color w:val="0F766E"/>
        </w:rPr>
        <w:t>1. Giới thiệu tổng quan hệ thống Clinic-Cloud</w:t>
      </w:r>
    </w:p>
    <w:p>
      <w:pPr>
        <w:spacing w:before="0" w:after="120" w:line="276" w:lineRule="auto"/>
      </w:pPr>
      <w:r>
        <w:t>Hệ thống Clinic-Cloud là giải pháp số hóa toàn diện quy trình tiếp nhận, thăm khám và lưu trữ bệnh án điện tử (Electronic Medical Record - EMR) dành cho các phòng khám đa khoa. Tài liệu SRS này tập trung đặc tả sự phân tách rõ ràng giữa phân hệ Yêu cầu chức năng (nghiệp vụ khám chữa bệnh) và Yêu cầu phi chức năng (an toàn, bảo mật dữ liệu y tế cá nhân).</w:t>
      </w:r>
    </w:p>
    <w:p>
      <w:pPr>
        <w:pStyle w:val="Heading1"/>
        <w:spacing w:before="240" w:after="120" w:line="276" w:lineRule="auto"/>
      </w:pPr>
      <w:r>
        <w:rPr>
          <w:rFonts w:ascii="Arial" w:hAnsi="Arial"/>
          <w:b/>
          <w:color w:val="0F766E"/>
        </w:rPr>
        <w:t>2. Phân biệt Yêu cầu chức năng và Phi chức năng</w:t>
      </w:r>
    </w:p>
    <w:tbl>
      <w:tblPr>
        <w:tblW w:type="auto" w:w="0"/>
        <w:jc w:val="center"/>
        <w:tblLook w:firstColumn="1" w:firstRow="1" w:lastColumn="0" w:lastRow="0" w:noHBand="0" w:noVBand="1" w:val="04A0"/>
      </w:tblPr>
      <w:tblGrid>
        <w:gridCol w:w="3120"/>
        <w:gridCol w:w="3120"/>
        <w:gridCol w:w="3120"/>
      </w:tblGrid>
      <w:tr>
        <w:tc>
          <w:tcPr>
            <w:tcW w:type="dxa" w:w="3120"/>
            <w:shd w:fill="0F766E"/>
          </w:tcPr>
          <w:p>
            <w:r>
              <w:rPr>
                <w:b/>
                <w:color w:val="FFFFFF"/>
                <w:sz w:val="20"/>
              </w:rPr>
              <w:t>Tiêu chí so sánh</w:t>
            </w:r>
          </w:p>
        </w:tc>
        <w:tc>
          <w:tcPr>
            <w:tcW w:type="dxa" w:w="3120"/>
            <w:shd w:fill="0F766E"/>
          </w:tcPr>
          <w:p>
            <w:r>
              <w:rPr>
                <w:b/>
                <w:color w:val="FFFFFF"/>
                <w:sz w:val="20"/>
              </w:rPr>
              <w:t>Yêu cầu Chức năng (Functional)</w:t>
            </w:r>
          </w:p>
        </w:tc>
        <w:tc>
          <w:tcPr>
            <w:tcW w:type="dxa" w:w="3120"/>
            <w:shd w:fill="0F766E"/>
          </w:tcPr>
          <w:p>
            <w:r>
              <w:rPr>
                <w:b/>
                <w:color w:val="FFFFFF"/>
                <w:sz w:val="20"/>
              </w:rPr>
              <w:t>Yêu cầu Phi chức năng (Non-functional)</w:t>
            </w:r>
          </w:p>
        </w:tc>
      </w:tr>
      <w:tr>
        <w:tc>
          <w:tcPr>
            <w:tcW w:type="dxa" w:w="3120"/>
          </w:tcPr>
          <w:p>
            <w:r>
              <w:rPr>
                <w:sz w:val="19"/>
              </w:rPr>
              <w:t>Bản chất cốt lõi</w:t>
            </w:r>
          </w:p>
        </w:tc>
        <w:tc>
          <w:tcPr>
            <w:tcW w:type="dxa" w:w="3120"/>
          </w:tcPr>
          <w:p>
            <w:r>
              <w:rPr>
                <w:sz w:val="19"/>
              </w:rPr>
              <w:t>Hệ thống LÀM ĐƯỢC GÌ (Hành vi, quy trình nghiệp vụ khám chữa bệnh).</w:t>
            </w:r>
          </w:p>
        </w:tc>
        <w:tc>
          <w:tcPr>
            <w:tcW w:type="dxa" w:w="3120"/>
          </w:tcPr>
          <w:p>
            <w:r>
              <w:rPr>
                <w:sz w:val="19"/>
              </w:rPr>
              <w:t>Hệ thống VẬN HÀNH THẾ NÀO (Bảo mật, hiệu năng, độ sẵn sàng, tính tuân thủ pháp lý).</w:t>
            </w:r>
          </w:p>
        </w:tc>
      </w:tr>
      <w:tr>
        <w:tc>
          <w:tcPr>
            <w:tcW w:type="dxa" w:w="3120"/>
          </w:tcPr>
          <w:p>
            <w:r>
              <w:rPr>
                <w:sz w:val="19"/>
              </w:rPr>
              <w:t>Module đại diện</w:t>
            </w:r>
          </w:p>
        </w:tc>
        <w:tc>
          <w:tcPr>
            <w:tcW w:type="dxa" w:w="3120"/>
          </w:tcPr>
          <w:p>
            <w:r>
              <w:rPr>
                <w:sz w:val="19"/>
              </w:rPr>
              <w:t>Module Khám bệnh: Tạo bệnh án, kê đơn thuốc điện tử, chỉ định cận lâm sàng, hẹn tái khám.</w:t>
            </w:r>
          </w:p>
        </w:tc>
        <w:tc>
          <w:tcPr>
            <w:tcW w:type="dxa" w:w="3120"/>
          </w:tcPr>
          <w:p>
            <w:r>
              <w:rPr>
                <w:sz w:val="19"/>
              </w:rPr>
              <w:t>Module An ninh &amp; Bảo mật: Mã hóa dữ liệu, phân quyền RBAC, Audit Trail, sao lưu định kỳ.</w:t>
            </w:r>
          </w:p>
        </w:tc>
      </w:tr>
      <w:tr>
        <w:tc>
          <w:tcPr>
            <w:tcW w:type="dxa" w:w="3120"/>
          </w:tcPr>
          <w:p>
            <w:r>
              <w:rPr>
                <w:sz w:val="19"/>
              </w:rPr>
              <w:t>Đối tượng tác động</w:t>
            </w:r>
          </w:p>
        </w:tc>
        <w:tc>
          <w:tcPr>
            <w:tcW w:type="dxa" w:w="3120"/>
          </w:tcPr>
          <w:p>
            <w:r>
              <w:rPr>
                <w:sz w:val="19"/>
              </w:rPr>
              <w:t>Bác sĩ, điều dưỡng, nhân viên thu ngân, dược sĩ, bệnh nhân.</w:t>
            </w:r>
          </w:p>
        </w:tc>
        <w:tc>
          <w:tcPr>
            <w:tcW w:type="dxa" w:w="3120"/>
          </w:tcPr>
          <w:p>
            <w:r>
              <w:rPr>
                <w:sz w:val="19"/>
              </w:rPr>
              <w:t>Quản trị viên hệ thống (IT Admin), chuyên gia an toàn thông tin, cơ quan thanh tra.</w:t>
            </w:r>
          </w:p>
        </w:tc>
      </w:tr>
      <w:tr>
        <w:tc>
          <w:tcPr>
            <w:tcW w:type="dxa" w:w="3120"/>
          </w:tcPr>
          <w:p>
            <w:r>
              <w:rPr>
                <w:sz w:val="19"/>
              </w:rPr>
              <w:t>Hệ quả khi thiếu sót</w:t>
            </w:r>
          </w:p>
        </w:tc>
        <w:tc>
          <w:tcPr>
            <w:tcW w:type="dxa" w:w="3120"/>
          </w:tcPr>
          <w:p>
            <w:r>
              <w:rPr>
                <w:sz w:val="19"/>
              </w:rPr>
              <w:t>Người dùng không thể hoàn thành ca khám hoặc kê sai phác đồ điều trị.</w:t>
            </w:r>
          </w:p>
        </w:tc>
        <w:tc>
          <w:tcPr>
            <w:tcW w:type="dxa" w:w="3120"/>
          </w:tcPr>
          <w:p>
            <w:r>
              <w:rPr>
                <w:sz w:val="19"/>
              </w:rPr>
              <w:t>Rò rỉ hồ sơ y tế cá nhân, vi phạm luật bảo vệ dữ liệu, bị phạt hành chính hoặc tấn công mạng.</w:t>
            </w:r>
          </w:p>
        </w:tc>
      </w:tr>
    </w:tbl>
    <w:p>
      <w:pPr>
        <w:spacing w:before="0" w:after="200" w:line="276" w:lineRule="auto"/>
      </w:pPr>
    </w:p>
    <w:p>
      <w:pPr>
        <w:pStyle w:val="Heading1"/>
        <w:spacing w:before="240" w:after="120" w:line="276" w:lineRule="auto"/>
      </w:pPr>
      <w:r>
        <w:rPr>
          <w:rFonts w:ascii="Arial" w:hAnsi="Arial"/>
          <w:b/>
          <w:color w:val="0F766E"/>
        </w:rPr>
        <w:t>3. Đặc tả chi tiết Yêu cầu phi chức năng về Bảo mật (Security NFR)</w:t>
      </w:r>
    </w:p>
    <w:p>
      <w:pPr>
        <w:pStyle w:val="Heading2"/>
        <w:spacing w:before="160" w:after="80" w:line="276" w:lineRule="auto"/>
      </w:pPr>
      <w:r>
        <w:rPr>
          <w:rFonts w:ascii="Arial" w:hAnsi="Arial"/>
          <w:b/>
          <w:color w:val="D97706"/>
        </w:rPr>
        <w:t>3.1. Mã hóa dữ liệu y tế (Encryption Standard)</w:t>
      </w:r>
    </w:p>
    <w:p>
      <w:pPr>
        <w:spacing w:before="0" w:after="120" w:line="276" w:lineRule="auto"/>
      </w:pPr>
      <w:r>
        <w:t>Toàn bộ dữ liệu bệnh án ở trạng thái lưu trữ (Data-at-Rest) phải được mã hóa bằng chuẩn AES-256. Dữ liệu truyền tải qua mạng (Data-in-Transit) bắt buộc thực thi qua giao thức TLS 1.3 có xác thực chứng chỉ số SSL/TLS.</w:t>
      </w:r>
    </w:p>
    <w:p>
      <w:pPr>
        <w:pStyle w:val="Heading2"/>
        <w:spacing w:before="160" w:after="80" w:line="276" w:lineRule="auto"/>
      </w:pPr>
      <w:r>
        <w:rPr>
          <w:rFonts w:ascii="Arial" w:hAnsi="Arial"/>
          <w:b/>
          <w:color w:val="D97706"/>
        </w:rPr>
        <w:t>3.2. Kiểm soát truy cập dựa trên vai trò (RBAC - Role-Based Access Control)</w:t>
      </w:r>
    </w:p>
    <w:p>
      <w:pPr>
        <w:spacing w:before="0" w:after="120" w:line="276" w:lineRule="auto"/>
      </w:pPr>
      <w:r>
        <w:t>Phân quyền nghiêm ngặt theo nguyên tắc đặc quyền tối thiểu (Least Privilege). Bác sĩ phụ trách chỉ xem được hồ sơ bệnh nhân trong ca trực của mình; nhân viên lễ tân chỉ xem được thông tin hành chính, không được xem chi tiết tiền sử bệnh lý và chẩn đoán lâm sàng.</w:t>
      </w:r>
    </w:p>
    <w:p>
      <w:pPr>
        <w:pStyle w:val="Heading2"/>
        <w:spacing w:before="160" w:after="80" w:line="276" w:lineRule="auto"/>
      </w:pPr>
      <w:r>
        <w:rPr>
          <w:rFonts w:ascii="Arial" w:hAnsi="Arial"/>
          <w:b/>
          <w:color w:val="D97706"/>
        </w:rPr>
        <w:t>3.3. Nhật ký kiểm toán không thể xóa (Immutable Audit Trail)</w:t>
      </w:r>
    </w:p>
    <w:p>
      <w:pPr>
        <w:spacing w:before="0" w:after="120" w:line="276" w:lineRule="auto"/>
      </w:pPr>
      <w:r>
        <w:t>Hệ thống tự động ghi log mọi hành vi can thiệp vào hồ sơ bệnh án (Xem, Sửa, Thêm, Xóa, In ấn, Trích xuất). Mỗi bản ghi log bao gồm User ID, Timestamp chính xác đến mili-giây, IP truy cập và Mã bệnh nhân, được bảo vệ chống giả mạo.</w:t>
      </w:r>
    </w:p>
    <w:p>
      <w:pPr>
        <w:pStyle w:val="Heading2"/>
        <w:spacing w:before="160" w:after="80" w:line="276" w:lineRule="auto"/>
      </w:pPr>
      <w:r>
        <w:rPr>
          <w:rFonts w:ascii="Arial" w:hAnsi="Arial"/>
          <w:b/>
          <w:color w:val="D97706"/>
        </w:rPr>
        <w:t>3.4. Ẩn danh hóa dữ liệu phân tích (Data Anonymization / De-identification)</w:t>
      </w:r>
    </w:p>
    <w:p>
      <w:pPr>
        <w:spacing w:before="0" w:after="120" w:line="276" w:lineRule="auto"/>
      </w:pPr>
      <w:r>
        <w:t>Khi trích xuất dữ liệu phục vụ nghiên cứu dịch bệnh hoặc báo cáo thống kê, hệ thống phải tự động bóc tách và làm mờ các trường định danh cá nhân (Họ tên, SĐT, Số CCCD, Địa chỉ nhà).</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