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Arial" w:hAnsi="Arial"/>
          <w:b/>
          <w:color w:val="0B192C"/>
          <w:sz w:val="34"/>
        </w:rPr>
        <w:t>BÁO CÁO PHÂN TÍCH VÀ ĐIỀU TRA SỰ CỐ AN NINH MẠNG</w:t>
        <w:br/>
        <w:t>(CYBERSECURITY INCIDENT REPORT)</w:t>
      </w:r>
    </w:p>
    <w:p>
      <w:pPr>
        <w:spacing w:after="320"/>
      </w:pPr>
      <w:r>
        <w:rPr>
          <w:b/>
        </w:rPr>
        <w:t>Đơn vị phát hành: Trung tâm Điều hành An ninh mạng NetGuard SOC | Mã báo cáo: IR-2026-1027</w:t>
        <w:br/>
      </w:r>
      <w:r>
        <w:t>Học phần: PTUDUD (Session10_Ex05) | Cấp độ bảo mật: Confidential / Tối mật nội bộ</w:t>
        <w:br/>
      </w:r>
    </w:p>
    <w:p>
      <w:pPr>
        <w:spacing w:after="400"/>
      </w:pPr>
      <w:r>
        <w:rPr>
          <w:b/>
          <w:sz w:val="24"/>
        </w:rPr>
        <w:t>MỤC LỤC TỰ ĐỘNG HỆ THỐNG (TABLE OF CONTENTS)</w:t>
        <w:br/>
      </w:r>
      <w:r>
        <w:rPr>
          <w:i/>
          <w:sz w:val="19"/>
        </w:rPr>
        <w:t>[Cơ chế Auto TOC: Tài liệu được kiến trúc chặt chẽ bằng Heading 1 và Heading 2 liên kết Navigation Pane. Để cập nhật trang chính xác khi tài liệu mở rộng lên hàng chục trang: Nhấp chuột phải vào khung mục lục -&gt; Update Field -&gt; Update entire table (hoặc phím F9)].</w:t>
      </w:r>
    </w:p>
    <w:p>
      <w:pPr>
        <w:pStyle w:val="Heading1"/>
        <w:spacing w:before="240" w:after="120" w:line="276" w:lineRule="auto"/>
      </w:pPr>
      <w:r>
        <w:rPr>
          <w:rFonts w:ascii="Arial" w:hAnsi="Arial"/>
          <w:b/>
          <w:color w:val="0B192C"/>
        </w:rPr>
        <w:t>1. Tóm tắt sự cố điều hành (Executive Summary)</w:t>
      </w:r>
    </w:p>
    <w:p>
      <w:pPr>
        <w:spacing w:before="0" w:after="120" w:line="276" w:lineRule="auto"/>
      </w:pPr>
      <w:r>
        <w:t>Vào lúc 02:15 sáng ngày 27/10/2026, hệ thống giám sát NetGuard SIEM phát hiện hơn 300 luồng cảnh báo bất thường liên quan đến các biến thể Ransomware và Trojan gián điệp. Báo cáo này tổng hợp quá trình trích xuất dữ liệu, chuẩn hóa nhật ký hệ thống và kích hoạt chiến lược phòng thủ 3 tầng bảo vệ tài sản số.</w:t>
      </w:r>
    </w:p>
    <w:p>
      <w:pPr>
        <w:pStyle w:val="Heading1"/>
        <w:spacing w:before="240" w:after="120" w:line="276" w:lineRule="auto"/>
      </w:pPr>
      <w:r>
        <w:rPr>
          <w:rFonts w:ascii="Arial" w:hAnsi="Arial"/>
          <w:b/>
          <w:color w:val="0B192C"/>
        </w:rPr>
        <w:t>2. Phương pháp chuẩn hóa dữ liệu cảnh báo và cơ chế AutoFilter</w:t>
      </w:r>
    </w:p>
    <w:p>
      <w:pPr>
        <w:spacing w:before="0" w:after="120" w:line="276" w:lineRule="auto"/>
      </w:pPr>
      <w:r>
        <w:t>Hệ thống cảnh báo thô từ các Endpoint thường sinh ra mã nhận diện không đồng nhất, dính khoảng trắng thừa do định dạng syslog truyền tải. Để giải quyết triệt để, NetGuard áp dụng giải pháp kép:</w:t>
      </w:r>
    </w:p>
    <w:p>
      <w:pPr>
        <w:spacing w:before="0" w:after="60" w:line="276" w:lineRule="auto"/>
      </w:pPr>
      <w:r>
        <w:t>• Khử nhiễu chuỗi tra cứu: Lồng hàm TRIM(lookup_value) trong công thức VLOOKUP để tự động cắt bỏ mọi khoảng trắng vô hình ở đầu và cuối chuỗi, đảm bảo đối soát chính xác 100% với Cơ sở dữ liệu mã độc.</w:t>
      </w:r>
    </w:p>
    <w:p>
      <w:pPr>
        <w:spacing w:before="0" w:after="60" w:line="276" w:lineRule="auto"/>
      </w:pPr>
      <w:r>
        <w:t>• Bẫy ngoại lệ an toàn: Bọc hàm IFERROR để trả về giá trị 'Không xác định' thay vì sụp đổ bảng tính bằng mã lỗi #N/A khi xuất hiện chủng mã độc mới.</w:t>
      </w:r>
    </w:p>
    <w:p>
      <w:pPr>
        <w:spacing w:before="0" w:after="60" w:line="276" w:lineRule="auto"/>
      </w:pPr>
      <w:r>
        <w:t>• Cơ chế 'Google Search' trong Excel: Sử dụng AutoFilter đa tầng (Ctrl + Shift + L) như một công cụ truy vấn thông minh, phân tích sâu các chỉ số SOC trong tích tắc.</w:t>
      </w:r>
    </w:p>
    <w:p>
      <w:pPr>
        <w:pStyle w:val="Heading1"/>
        <w:spacing w:before="240" w:after="120" w:line="276" w:lineRule="auto"/>
      </w:pPr>
      <w:r>
        <w:rPr>
          <w:rFonts w:ascii="Arial" w:hAnsi="Arial"/>
          <w:b/>
          <w:color w:val="0B192C"/>
        </w:rPr>
        <w:t>3. Kiến trúc chiến lược phòng thủ 3 tầng (Defense-in-Depth)</w:t>
      </w:r>
    </w:p>
    <w:p>
      <w:pPr>
        <w:spacing w:before="0" w:after="120" w:line="276" w:lineRule="auto"/>
      </w:pPr>
      <w:r>
        <w:t>Để ngăn chặn sự cố tương tự tái diễn, NetGuard triển khai mô hình phân cấp an ninh nghiêm ngặt:</w:t>
      </w:r>
    </w:p>
    <w:p>
      <w:pPr>
        <w:pStyle w:val="Heading2"/>
        <w:spacing w:before="160" w:after="80" w:line="276" w:lineRule="auto"/>
      </w:pPr>
      <w:r>
        <w:rPr>
          <w:rFonts w:ascii="Arial" w:hAnsi="Arial"/>
          <w:b/>
          <w:color w:val="008DDA"/>
        </w:rPr>
        <w:t>3.1. Tầng 1: Vành đai ngoại vi (Perimeter Defense)</w:t>
      </w:r>
    </w:p>
    <w:p>
      <w:pPr>
        <w:spacing w:before="0" w:after="120" w:line="276" w:lineRule="auto"/>
      </w:pPr>
      <w:r>
        <w:t>Triển khai hệ thống Tường lửa thế hệ mới (NGFW), Web Application Firewall (WAF) và ngăn chặn tấn công DDoS tại cổng Gateway. Mọi truy cập trái phép từ IP độc hại bị triệt tiêu ngay tại biên.</w:t>
      </w:r>
    </w:p>
    <w:p>
      <w:pPr>
        <w:pStyle w:val="Heading2"/>
        <w:spacing w:before="160" w:after="80" w:line="276" w:lineRule="auto"/>
      </w:pPr>
      <w:r>
        <w:rPr>
          <w:rFonts w:ascii="Arial" w:hAnsi="Arial"/>
          <w:b/>
          <w:color w:val="008DDA"/>
        </w:rPr>
        <w:t>3.2. Tầng 2: Mạng nội bộ &amp; Phân đoạn vi mô (Network Segmentation)</w:t>
      </w:r>
    </w:p>
    <w:p>
      <w:pPr>
        <w:spacing w:before="0" w:after="120" w:line="276" w:lineRule="auto"/>
      </w:pPr>
      <w:r>
        <w:t>Áp dụng mô hình Zero Trust: chia nhỏ mạng nội bộ thành các VLAN cô lập, kiểm soát luồng di chuyển ngang (Lateral Movement) và định tuyến qua hệ thống phát hiện xâm nhập IDS/IPS.</w:t>
      </w:r>
    </w:p>
    <w:p>
      <w:pPr>
        <w:pStyle w:val="Heading2"/>
        <w:spacing w:before="160" w:after="80" w:line="276" w:lineRule="auto"/>
      </w:pPr>
      <w:r>
        <w:rPr>
          <w:rFonts w:ascii="Arial" w:hAnsi="Arial"/>
          <w:b/>
          <w:color w:val="008DDA"/>
        </w:rPr>
        <w:t>3.3. Tầng 3: Thiết bị đầu cuối &amp; Dữ liệu cốt lõi (Endpoint &amp; Data Protection)</w:t>
      </w:r>
    </w:p>
    <w:p>
      <w:pPr>
        <w:spacing w:before="0" w:after="120" w:line="276" w:lineRule="auto"/>
      </w:pPr>
      <w:r>
        <w:t>Cài đặt phần mềm EDR (Endpoint Detection and Response) trên 100% máy trạm, mã hóa dữ liệu cơ sở y tế/doanh nghiệp bằng AES-256 và cô lập tự động các tiến trình nghi nhiễm.</w:t>
      </w:r>
    </w:p>
    <w:p>
      <w:pPr>
        <w:pStyle w:val="Heading1"/>
        <w:spacing w:before="240" w:after="120" w:line="276" w:lineRule="auto"/>
      </w:pPr>
      <w:r>
        <w:rPr>
          <w:rFonts w:ascii="Arial" w:hAnsi="Arial"/>
          <w:b/>
          <w:color w:val="0B192C"/>
        </w:rPr>
        <w:t>4. Kế hoạch ứng phó sự cố và khôi phục (IR Plan)</w:t>
      </w:r>
    </w:p>
    <w:p>
      <w:pPr>
        <w:spacing w:before="0" w:after="120" w:line="276" w:lineRule="auto"/>
      </w:pPr>
      <w:r>
        <w:t>Toàn bộ các máy trạm nhiễm mã độc LockBit và AgentTesla đã được cô lập thành công, không phát sinh rò rỉ dữ liệu nhạy cảm. Hệ thống đã khôi phục hoạt động ổn định và cập nhật chữ ký số virus vào kho dữ liệu tập trung.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