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Arial" w:hAnsi="Arial"/>
          <w:b/>
          <w:color w:val="0F172A"/>
          <w:sz w:val="34"/>
        </w:rPr>
        <w:t>TÀI LIỆU ĐẶC TẢ YÊU CẦU PHẦN MỀM (SRS)</w:t>
        <w:br/>
        <w:t>NỀN TẢNG ĐẤU GIÁ NHÀ ĐẤT TRỰC TUYẾN SMART-HOME</w:t>
      </w:r>
    </w:p>
    <w:p>
      <w:pPr>
        <w:spacing w:before="0" w:after="320" w:line="276" w:lineRule="auto"/>
        <w:jc w:val="center"/>
      </w:pPr>
      <w:r>
        <w:rPr>
          <w:b/>
        </w:rPr>
        <w:t>Dự án Khởi nghiệp Smart-Home PropTech | Học phần: PTUDUD (Session10_Ex06)</w:t>
        <w:br/>
      </w:r>
      <w:r>
        <w:t>Người lập: Ban Công Nghệ &amp; Sản Phẩm Smart-Home | Ngày hiệu lực: 27/10/2026</w:t>
        <w:br/>
      </w:r>
    </w:p>
    <w:p>
      <w:pPr>
        <w:spacing w:before="0" w:after="320" w:line="276" w:lineRule="auto"/>
      </w:pPr>
      <w:r>
        <w:rPr>
          <w:b/>
          <w:color w:val="EA580C"/>
          <w:sz w:val="22"/>
        </w:rPr>
        <w:t>MỤC LỤC TỰ ĐỘNG THEO CHUẨN NAVIGATION PANE (HEADING 1, 2, 3)</w:t>
        <w:br/>
      </w:r>
      <w:r>
        <w:rPr>
          <w:i/>
          <w:sz w:val="19"/>
        </w:rPr>
        <w:t>[Lưu ý hướng dẫn: Khung tài liệu SRS này được phân tầng hoàn chỉnh Heading 1, 2, 3 tương thích với Navigation Pane của Microsoft Word. Người dùng vào References -&gt; Update Table -&gt; Update entire table (hoặc phím F9) để làm mới toàn bộ mục lục].</w:t>
      </w:r>
    </w:p>
    <w:p>
      <w:pPr>
        <w:pStyle w:val="Heading1"/>
        <w:spacing w:before="280" w:after="120" w:line="276" w:lineRule="auto"/>
      </w:pPr>
      <w:r>
        <w:rPr>
          <w:rFonts w:ascii="Arial" w:hAnsi="Arial"/>
          <w:b/>
          <w:color w:val="0F172A"/>
        </w:rPr>
        <w:t>1. Giới thiệu tổng quan hệ thống Smart-Home</w:t>
      </w:r>
    </w:p>
    <w:p>
      <w:pPr>
        <w:spacing w:before="0" w:after="120" w:line="276" w:lineRule="auto"/>
      </w:pPr>
      <w:r>
        <w:t>Smart-Home là nền tảng công nghệ bất động sản (PropTech) tiên phong kết hợp mô hình đấu giá trực tuyến theo thời gian thực (Real-time Online Bidding) và công nghệ xác thực pháp lý tài sản số, giúp minh bạch hóa giá trị giao dịch, tối ưu thời gian khớp lệnh giữa chủ sở hữu, người mua/thuê và các đơn vị môi giới độc lập.</w:t>
      </w:r>
    </w:p>
    <w:p>
      <w:pPr>
        <w:pStyle w:val="Heading2"/>
        <w:spacing w:before="200" w:after="80" w:line="276" w:lineRule="auto"/>
      </w:pPr>
      <w:r>
        <w:rPr>
          <w:rFonts w:ascii="Arial" w:hAnsi="Arial"/>
          <w:b/>
          <w:color w:val="EA580C"/>
        </w:rPr>
        <w:t>1.1. Mục tiêu và phạm vi nghiệp vụ</w:t>
      </w:r>
    </w:p>
    <w:p>
      <w:pPr>
        <w:spacing w:before="0" w:after="120" w:line="276" w:lineRule="auto"/>
      </w:pPr>
      <w:r>
        <w:t>Giải quyết triệt để tình trạng 'thổi giá', 'tin ảo' trên thị trường bất động sản thông qua quy trình thẩm định hồ sơ pháp lý 3 lớp và niêm yết mức giá khởi điểm minh bạch.</w:t>
      </w:r>
    </w:p>
    <w:p>
      <w:pPr>
        <w:pStyle w:val="Heading2"/>
        <w:spacing w:before="200" w:after="80" w:line="276" w:lineRule="auto"/>
      </w:pPr>
      <w:r>
        <w:rPr>
          <w:rFonts w:ascii="Arial" w:hAnsi="Arial"/>
          <w:b/>
          <w:color w:val="EA580C"/>
        </w:rPr>
        <w:t>1.2. Đối tượng thụ hưởng giải pháp</w:t>
      </w:r>
    </w:p>
    <w:p>
      <w:pPr>
        <w:spacing w:before="0" w:after="120" w:line="276" w:lineRule="auto"/>
      </w:pPr>
      <w:r>
        <w:t>Bao gồm: (1) Nhà đầu tư và người mua nhà cá nhân; (2) Chủ đầu tư &amp; chủ sở hữu bất động sản; (3) Môi giới bất động sản hưởng hoa hồng tự động.</w:t>
      </w:r>
    </w:p>
    <w:p>
      <w:pPr>
        <w:pStyle w:val="Heading1"/>
        <w:spacing w:before="280" w:after="120" w:line="276" w:lineRule="auto"/>
      </w:pPr>
      <w:r>
        <w:rPr>
          <w:rFonts w:ascii="Arial" w:hAnsi="Arial"/>
          <w:b/>
          <w:color w:val="0F172A"/>
        </w:rPr>
        <w:t>2. Đặc tả yêu cầu chức năng cốt lõi (Functional Requirements)</w:t>
      </w:r>
    </w:p>
    <w:p>
      <w:pPr>
        <w:spacing w:before="0" w:after="120" w:line="276" w:lineRule="auto"/>
      </w:pPr>
      <w:r>
        <w:t>Hệ thống phân rã thành các phân hệ nghiệp vụ độc lập, quản lý thông qua cấu trúc Heading 2 và Heading 3 rõ ràng:</w:t>
      </w:r>
    </w:p>
    <w:p>
      <w:pPr>
        <w:pStyle w:val="Heading2"/>
        <w:spacing w:before="200" w:after="80" w:line="276" w:lineRule="auto"/>
      </w:pPr>
      <w:r>
        <w:rPr>
          <w:rFonts w:ascii="Arial" w:hAnsi="Arial"/>
          <w:b/>
          <w:color w:val="EA580C"/>
        </w:rPr>
        <w:t>2.1. Phân hệ Quản lý Phiên đấu giá Trực tuyến (Real-time Auction Engine)</w:t>
      </w:r>
    </w:p>
    <w:p>
      <w:pPr>
        <w:pStyle w:val="Heading3"/>
        <w:spacing w:before="120" w:after="40" w:line="276" w:lineRule="auto"/>
      </w:pPr>
      <w:r>
        <w:rPr>
          <w:rFonts w:ascii="Arial" w:hAnsi="Arial"/>
          <w:b/>
          <w:color w:val="334155"/>
        </w:rPr>
        <w:t>2.1.1. Khởi tạo và Thiết lập Phòng đấu giá</w:t>
      </w:r>
    </w:p>
    <w:p>
      <w:pPr>
        <w:spacing w:before="0" w:after="120" w:line="276" w:lineRule="auto"/>
      </w:pPr>
      <w:r>
        <w:t>Chủ tài sản hoặc Quản trị viên thiết lập mã phiên, giá sàn khởi điểm, bước giá tối thiểu (Bid Increments), thời hạn đếm ngược và quy định tiền đặt cọc (Escrow Deposit) theo quy định pháp luật.</w:t>
      </w:r>
    </w:p>
    <w:p>
      <w:pPr>
        <w:pStyle w:val="Heading3"/>
        <w:spacing w:before="120" w:after="40" w:line="276" w:lineRule="auto"/>
      </w:pPr>
      <w:r>
        <w:rPr>
          <w:rFonts w:ascii="Arial" w:hAnsi="Arial"/>
          <w:b/>
          <w:color w:val="334155"/>
        </w:rPr>
        <w:t>2.1.2. Khớp lệnh đấu giá thời gian thực với WebSockets</w:t>
      </w:r>
    </w:p>
    <w:p>
      <w:pPr>
        <w:spacing w:before="0" w:after="120" w:line="276" w:lineRule="auto"/>
      </w:pPr>
      <w:r>
        <w:t>Hệ thống cập nhật bước giá tức thời với độ trễ &lt; 50ms cho hàng ngàn người tham gia cùng lúc, tự động gia hạn thêm 60 giây nếu có lệnh trả giá mới trong phút cuối.</w:t>
      </w:r>
    </w:p>
    <w:p>
      <w:pPr>
        <w:pStyle w:val="Heading3"/>
        <w:spacing w:before="120" w:after="40" w:line="276" w:lineRule="auto"/>
      </w:pPr>
      <w:r>
        <w:rPr>
          <w:rFonts w:ascii="Arial" w:hAnsi="Arial"/>
          <w:b/>
          <w:color w:val="334155"/>
        </w:rPr>
        <w:t>2.1.3. Khóa phiên và Tự động sinh Biên bản trúng giá</w:t>
      </w:r>
    </w:p>
    <w:p>
      <w:pPr>
        <w:spacing w:before="0" w:after="120" w:line="276" w:lineRule="auto"/>
      </w:pPr>
      <w:r>
        <w:t>Xác nhận người trả giá hợp lệ cao nhất khi hết giờ, xuất hợp đồng nguyên tắc điện tử kèm mã QR xác thực và thông báo đến ngân hàng bảo lãnh tài khoản phong tỏa.</w:t>
      </w:r>
    </w:p>
    <w:p>
      <w:pPr>
        <w:pStyle w:val="Heading2"/>
        <w:spacing w:before="200" w:after="80" w:line="276" w:lineRule="auto"/>
      </w:pPr>
      <w:r>
        <w:rPr>
          <w:rFonts w:ascii="Arial" w:hAnsi="Arial"/>
          <w:b/>
          <w:color w:val="EA580C"/>
        </w:rPr>
        <w:t>2.2. Phân hệ Thẩm định Pháp lý và Định giá Thông minh</w:t>
      </w:r>
    </w:p>
    <w:p>
      <w:pPr>
        <w:pStyle w:val="Heading3"/>
        <w:spacing w:before="120" w:after="40" w:line="276" w:lineRule="auto"/>
      </w:pPr>
      <w:r>
        <w:rPr>
          <w:rFonts w:ascii="Arial" w:hAnsi="Arial"/>
          <w:b/>
          <w:color w:val="334155"/>
        </w:rPr>
        <w:t>2.2.1. Tự động quét và Xác thực Sổ đỏ/Sổ hồng số</w:t>
      </w:r>
    </w:p>
    <w:p>
      <w:pPr>
        <w:spacing w:before="0" w:after="120" w:line="276" w:lineRule="auto"/>
      </w:pPr>
      <w:r>
        <w:t>Ứng dụng AI OCR đối soát thông tin thửa đất, tọa độ quy hoạch và mã định danh cá nhân của chủ sở hữu với cơ sở dữ liệu quốc gia.</w:t>
      </w:r>
    </w:p>
    <w:p>
      <w:pPr>
        <w:pStyle w:val="Heading3"/>
        <w:spacing w:before="120" w:after="40" w:line="276" w:lineRule="auto"/>
      </w:pPr>
      <w:r>
        <w:rPr>
          <w:rFonts w:ascii="Arial" w:hAnsi="Arial"/>
          <w:b/>
          <w:color w:val="334155"/>
        </w:rPr>
        <w:t>2.2.2. Thuật toán gợi ý mức giá sàn tối ưu</w:t>
      </w:r>
    </w:p>
    <w:p>
      <w:pPr>
        <w:spacing w:before="0" w:after="120" w:line="276" w:lineRule="auto"/>
      </w:pPr>
      <w:r>
        <w:t>Phân tích biến động giá thị trường cùng phân khúc tại khu vực lân cận trong 6 tháng gần nhất để gợi ý mức giá khởi điểm có tính thanh khoản cao nhất.</w:t>
      </w:r>
    </w:p>
    <w:p>
      <w:pPr>
        <w:pStyle w:val="Heading2"/>
        <w:spacing w:before="200" w:after="80" w:line="276" w:lineRule="auto"/>
      </w:pPr>
      <w:r>
        <w:rPr>
          <w:rFonts w:ascii="Arial" w:hAnsi="Arial"/>
          <w:b/>
          <w:color w:val="EA580C"/>
        </w:rPr>
        <w:t>2.3. Phân hệ Quản lý Giao dịch và Thanh toán Tự động</w:t>
      </w:r>
    </w:p>
    <w:p>
      <w:pPr>
        <w:pStyle w:val="Heading3"/>
        <w:spacing w:before="120" w:after="40" w:line="276" w:lineRule="auto"/>
      </w:pPr>
      <w:r>
        <w:rPr>
          <w:rFonts w:ascii="Arial" w:hAnsi="Arial"/>
          <w:b/>
          <w:color w:val="334155"/>
        </w:rPr>
        <w:t>2.3.1. Tự động tính toán Chiết khấu và Giá thuê thực tế</w:t>
      </w:r>
    </w:p>
    <w:p>
      <w:pPr>
        <w:spacing w:before="0" w:after="120" w:line="276" w:lineRule="auto"/>
      </w:pPr>
      <w:r>
        <w:t>Áp dụng cơ chế định mức chiết khấu theo chính sách thanh toán sớm, thanh toán dài hạn để xuất hóa đơn và hợp đồng thuê/mua chính xác.</w:t>
      </w:r>
    </w:p>
    <w:p>
      <w:pPr>
        <w:pStyle w:val="Heading3"/>
        <w:spacing w:before="120" w:after="40" w:line="276" w:lineRule="auto"/>
      </w:pPr>
      <w:r>
        <w:rPr>
          <w:rFonts w:ascii="Arial" w:hAnsi="Arial"/>
          <w:b/>
          <w:color w:val="334155"/>
        </w:rPr>
        <w:t>2.3.2. Tra cứu và Trích xuất Hoa hồng Môi giới (Broker Commission)</w:t>
      </w:r>
    </w:p>
    <w:p>
      <w:pPr>
        <w:spacing w:before="0" w:after="120" w:line="276" w:lineRule="auto"/>
      </w:pPr>
      <w:r>
        <w:t>Tự động liên kết mã phân khúc bất động sản với bảng biểu tỷ lệ hoa hồng chuẩn hóa, tính toán tiền hoa hồng thực nhận của broker ngay khi giao dịch thành công.</w:t>
      </w:r>
    </w:p>
    <w:p>
      <w:pPr>
        <w:pStyle w:val="Heading1"/>
        <w:spacing w:before="280" w:after="120" w:line="276" w:lineRule="auto"/>
      </w:pPr>
      <w:r>
        <w:rPr>
          <w:rFonts w:ascii="Arial" w:hAnsi="Arial"/>
          <w:b/>
          <w:color w:val="0F172A"/>
        </w:rPr>
        <w:t>3. Yêu cầu phi chức năng và Tiêu chuẩn an ninh (Non-Functional Requirements)</w:t>
      </w:r>
    </w:p>
    <w:p>
      <w:pPr>
        <w:pStyle w:val="Heading2"/>
        <w:spacing w:before="200" w:after="80" w:line="276" w:lineRule="auto"/>
      </w:pPr>
      <w:r>
        <w:rPr>
          <w:rFonts w:ascii="Arial" w:hAnsi="Arial"/>
          <w:b/>
          <w:color w:val="EA580C"/>
        </w:rPr>
        <w:t>3.1. Hiệu năng và Khả năng chịu tải (Scalability)</w:t>
      </w:r>
    </w:p>
    <w:p>
      <w:pPr>
        <w:spacing w:before="0" w:after="120" w:line="276" w:lineRule="auto"/>
      </w:pPr>
      <w:r>
        <w:t>Hạ tầng chịu tải tối thiểu 50,000 người truy cập đồng thời (CCU) trong các phiên đấu giá cao điểm mà không suy giảm tốc độ phản hồi.</w:t>
      </w:r>
    </w:p>
    <w:p>
      <w:pPr>
        <w:pStyle w:val="Heading2"/>
        <w:spacing w:before="200" w:after="80" w:line="276" w:lineRule="auto"/>
      </w:pPr>
      <w:r>
        <w:rPr>
          <w:rFonts w:ascii="Arial" w:hAnsi="Arial"/>
          <w:b/>
          <w:color w:val="EA580C"/>
        </w:rPr>
        <w:t>3.2. Tính Toàn vẹn Dữ liệu Bảng tính &amp; Tuân thủ 5 Quy tắc Vàng</w:t>
      </w:r>
    </w:p>
    <w:p>
      <w:pPr>
        <w:spacing w:before="0" w:after="120" w:line="276" w:lineRule="auto"/>
      </w:pPr>
      <w:r>
        <w:t>Mọi dữ liệu tài chính, hoa hồng đối soát đối tác phải được lưu trữ dưới dạng bảng tính chuẩn hóa (Mỗi dòng là 1 Record độc lập, mỗi cột là 1 Field thuộc tính riêng biệt, tuyệt đối không gộp ô Merge Cell làm hỏng công thức VLOOKUP).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