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80" w:before="0"/>
        <w:jc w:val="center"/>
      </w:pPr>
      <w:r>
        <w:rPr>
          <w:rFonts w:ascii="Times New Roman" w:cs="Times New Roman" w:eastAsia="Times New Roman" w:hAnsi="Times New Roman"/>
          <w:b/>
          <w:bCs/>
          <w:sz w:val="32"/>
          <w:szCs w:val="32"/>
        </w:rPr>
        <w:t xml:space="preserve">CHAPTER 2. THEORETICAL BACKGROUND</w:t>
      </w:r>
    </w:p>
    <w:p>
      <w:pPr>
        <w:spacing w:after="120" w:before="0" w:line="360"/>
        <w:ind w:firstLine="720"/>
        <w:jc w:val="both"/>
      </w:pPr>
      <w:r>
        <w:rPr>
          <w:rFonts w:ascii="Times New Roman" w:cs="Times New Roman" w:eastAsia="Times New Roman" w:hAnsi="Times New Roman"/>
          <w:sz w:val="26"/>
          <w:szCs w:val="26"/>
        </w:rPr>
        <w:t xml:space="preserve">This chapter establishes the theoretical foundations upon which the simulation work presented in subsequent chapters is built. The treatment is organised around six interconnected themes: (i) the radio emission of the Sun and the nature of solar bursts; (ii) the fundamentals of antenna theory relevant to the receiving element of an interferometer; (iii) the noise behaviour of a radio-astronomical receiver chain; (iv) the principle of radio interferometry and the Van Cittert–Zernike theorem; (v) aperture synthesis imaging and deconvolution; and (vi) the practical error sources that distinguish a real interferometer from its idealised mathematical description. Each section is written with the dual aim of providing rigorous justification for the modelling choices made later in this thesis and of being self-contained enough to be read without external reference. Equations are numbered within the chapter for convenient cross-referencing in the methodology and results chapters.</w:t>
      </w:r>
    </w:p>
    <w:p>
      <w:pPr>
        <w:pStyle w:val="Heading2"/>
        <w:spacing w:after="180" w:before="360"/>
      </w:pPr>
      <w:r>
        <w:rPr>
          <w:rFonts w:ascii="Times New Roman" w:cs="Times New Roman" w:eastAsia="Times New Roman" w:hAnsi="Times New Roman"/>
          <w:b/>
          <w:bCs/>
          <w:sz w:val="28"/>
          <w:szCs w:val="28"/>
        </w:rPr>
        <w:t xml:space="preserve">2.1    Solar Radio Emission</w:t>
      </w:r>
    </w:p>
    <w:p>
      <w:pPr>
        <w:spacing w:after="120" w:before="0" w:line="360"/>
        <w:ind w:firstLine="720"/>
        <w:jc w:val="both"/>
      </w:pPr>
      <w:r>
        <w:rPr>
          <w:rFonts w:ascii="Times New Roman" w:cs="Times New Roman" w:eastAsia="Times New Roman" w:hAnsi="Times New Roman"/>
          <w:sz w:val="26"/>
          <w:szCs w:val="26"/>
        </w:rPr>
        <w:t xml:space="preserve">The Sun is, after the Earth itself, the closest and most variable radio source in the sky. Its radio emission spans roughly nine orders of magnitude in frequency — from a few kilohertz in the interplanetary medium to several hundred gigahertz in the chromosphere — and is generated by physical mechanisms that differ markedly across this range. Before turning to the geometry of the interferometer in later sections, it is necessary to clarify what is being observed at 610 MHz and why a transient, spatially compact source such as a solar radio burst is a meaningful target for a small-baseline array. The discussion below summarises the structure of the Sun as a radio source, identifies the standard burst classification used throughout the literature, and motivates the choice of microwave frequencies for the present work.</w:t>
      </w:r>
    </w:p>
    <w:p>
      <w:pPr>
        <w:pStyle w:val="Heading3"/>
        <w:spacing w:after="120" w:before="240"/>
      </w:pPr>
      <w:r>
        <w:rPr>
          <w:rFonts w:ascii="Times New Roman" w:cs="Times New Roman" w:eastAsia="Times New Roman" w:hAnsi="Times New Roman"/>
          <w:b/>
          <w:bCs/>
          <w:i/>
          <w:iCs/>
          <w:sz w:val="26"/>
          <w:szCs w:val="26"/>
        </w:rPr>
        <w:t xml:space="preserve">2.1.1    Structure of the Sun and Radio-Emitting Regions</w:t>
      </w:r>
    </w:p>
    <w:p>
      <w:pPr>
        <w:spacing w:after="120" w:before="0" w:line="360"/>
        <w:ind w:firstLine="720"/>
        <w:jc w:val="both"/>
      </w:pPr>
      <w:r>
        <w:rPr>
          <w:rFonts w:ascii="Times New Roman" w:cs="Times New Roman" w:eastAsia="Times New Roman" w:hAnsi="Times New Roman"/>
          <w:sz w:val="26"/>
          <w:szCs w:val="26"/>
        </w:rPr>
        <w:t xml:space="preserve">Although the Sun appears at optical wavelengths as a well-defined disc with a sharp limb, at radio wavelengths it is more accurately described as a stratified, optically thick plasma whose apparent size and brightness depend strongly on the observing frequency. From the perspective of a radio observer, three atmospheric layers are of primary importance: the photosphere, the chromosphere, and the corona [1], [2]. The photosphere, the optical surface of the Sun at a temperature of roughly 5800 K, dominates the radio emission only at the very highest microwave and millimetre frequencies. Above it lies the chromosphere, a transition layer a few thousand kilometres thick in which the kinetic temperature rises from approximately 6 × 10³ K to several tens of thousands of kelvin. Above the chromosphere, the temperature climbs steeply through a thin transition region into the corona, where it reaches and exceeds 10⁶ K. This counter-intuitive temperature inversion — hotter material lying above cooler material — has profound consequences for the radio emission, as discussed below.</w:t>
      </w:r>
    </w:p>
    <w:p>
      <w:pPr>
        <w:spacing w:after="120" w:before="0" w:line="360"/>
        <w:ind w:firstLine="720"/>
        <w:jc w:val="both"/>
      </w:pPr>
      <w:r>
        <w:rPr>
          <w:rFonts w:ascii="Times New Roman" w:cs="Times New Roman" w:eastAsia="Times New Roman" w:hAnsi="Times New Roman"/>
          <w:sz w:val="26"/>
          <w:szCs w:val="26"/>
        </w:rPr>
        <w:t xml:space="preserve">A useful approximation for relating observing frequency to the height of emission is that of the radio photosphere: at any given frequency, the dominant contribution to the observed flux arises from the height at which the medium becomes optically thick. Because the dominant absorption mechanism at metre and decimetre wavelengths is free–free (thermal bremsstrahlung) absorption, whose opacity scales approximately as ν⁻², lower frequencies originate from greater heights in the more tenuous corona, whereas higher frequencies probe progressively deeper, denser, and cooler regions. At 610 MHz — the centre of the band considered in this thesis — the emission originates predominantly from the low corona at a height of approximately 1.05–1.2 solar radii from the centre of the Sun, where the local electron temperature is of order 10⁶ K [3]. The quiet-Sun brightness temperature observed at this frequency therefore reflects the coronal plasma rather than the optical photosphere.</w:t>
      </w:r>
    </w:p>
    <w:p>
      <w:pPr>
        <w:spacing w:after="60" w:before="240"/>
        <w:jc w:val="center"/>
      </w:pPr>
      <w:r>
        <w:rPr>
          <w:rFonts w:ascii="Times New Roman" w:cs="Times New Roman" w:eastAsia="Times New Roman" w:hAnsi="Times New Roman"/>
          <w:i/>
          <w:iCs/>
          <w:color w:val="888888"/>
          <w:sz w:val="24"/>
          <w:szCs w:val="24"/>
        </w:rPr>
        <w:t xml:space="preserve">[Figure 2.1 placeholder — see Description below]</w:t>
      </w:r>
    </w:p>
    <w:p>
      <w:pPr>
        <w:spacing w:after="240" w:before="0"/>
        <w:jc w:val="center"/>
      </w:pPr>
      <w:r>
        <w:rPr>
          <w:rFonts w:ascii="Times New Roman" w:cs="Times New Roman" w:eastAsia="Times New Roman" w:hAnsi="Times New Roman"/>
          <w:b/>
          <w:bCs/>
          <w:sz w:val="24"/>
          <w:szCs w:val="24"/>
        </w:rPr>
        <w:t xml:space="preserve">Figure 2.1: </w:t>
      </w:r>
      <w:r>
        <w:rPr>
          <w:rFonts w:ascii="Times New Roman" w:cs="Times New Roman" w:eastAsia="Times New Roman" w:hAnsi="Times New Roman"/>
          <w:i/>
          <w:iCs/>
          <w:sz w:val="24"/>
          <w:szCs w:val="24"/>
        </w:rPr>
        <w:t xml:space="preserve">Schematic vertical cross-section of the solar atmosphere showing the photosphere, chromosphere, transition region, and corona. The approximate height of emission as a function of observing frequency is indicated on the right-hand axis, with the 610 MHz emission height highlighted.</w:t>
      </w:r>
    </w:p>
    <w:p>
      <w:pPr>
        <w:pStyle w:val="Heading3"/>
        <w:spacing w:after="120" w:before="240"/>
      </w:pPr>
      <w:r>
        <w:rPr>
          <w:rFonts w:ascii="Times New Roman" w:cs="Times New Roman" w:eastAsia="Times New Roman" w:hAnsi="Times New Roman"/>
          <w:b/>
          <w:bCs/>
          <w:i/>
          <w:iCs/>
          <w:sz w:val="26"/>
          <w:szCs w:val="26"/>
        </w:rPr>
        <w:t xml:space="preserve">2.1.2    Quiet-Sun Emission at 610 MHz</w:t>
      </w:r>
    </w:p>
    <w:p>
      <w:pPr>
        <w:spacing w:after="120" w:before="0" w:line="360"/>
        <w:ind w:firstLine="720"/>
        <w:jc w:val="both"/>
      </w:pPr>
      <w:r>
        <w:rPr>
          <w:rFonts w:ascii="Times New Roman" w:cs="Times New Roman" w:eastAsia="Times New Roman" w:hAnsi="Times New Roman"/>
          <w:sz w:val="26"/>
          <w:szCs w:val="26"/>
        </w:rPr>
        <w:t xml:space="preserve">The quiet Sun denotes the state of the solar disc in the absence of active regions, flares, or coronal mass ejections. Even in this background state, the Sun is a strong radio source by astronomical standards: its decimetric flux exceeds that of Cassiopeia A, the brightest steady cosmic radio source in the sky, by roughly four orders of magnitude. The dominant emission mechanism at 610 MHz is thermal bremsstrahlung, in which free electrons in the coronal plasma radiate during Coulomb collisions with ions [1]. For an optically thick, thermal source, the spectral brightness is well described by the Rayleigh–Jeans approximation to the Planck law, which holds whenever hν ≪ k_B T. At 610 MHz and a coronal electron temperature of 10⁶ K, the dimensionless ratio hν/k_B T is of order 3 × 10⁻⁵, so the Rayleigh–Jeans regime is comfortably satisfied and the spectral brightness B_ν of the emission is given by</w:t>
      </w:r>
    </w:p>
    <w:p>
      <w:pPr>
        <w:tabs>
          <w:tab w:val="right" w:pos="9026"/>
        </w:tabs>
        <w:spacing w:after="120" w:before="120" w:line="360"/>
        <w:jc w:val="center"/>
      </w:pP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B_ν = 2 k_B T_b ν² / c²,</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(2.1)</w:t>
      </w:r>
    </w:p>
    <w:p>
      <w:pPr>
        <w:spacing w:after="120" w:before="0" w:line="360"/>
        <w:ind w:firstLine="720"/>
        <w:jc w:val="both"/>
      </w:pPr>
      <w:r>
        <w:rPr>
          <w:rFonts w:ascii="Times New Roman" w:cs="Times New Roman" w:eastAsia="Times New Roman" w:hAnsi="Times New Roman"/>
          <w:sz w:val="26"/>
          <w:szCs w:val="26"/>
        </w:rPr>
        <w:t xml:space="preserve">where k_B is the Boltzmann constant, T_b is the brightness temperature, ν is the observing frequency, and c is the speed of light. In radio astronomy it is conventional to characterise sources directly by their brightness temperature rather than by the spectral brightness; the two are related by Equation (2.1) but T_b has the practical advantage of being independent of frequency for a purely thermal source. For the quiet corona at 610 MHz the observed brightness temperature lies in the range of approximately 5 × 10⁵ to 10⁶ K, consistent with optically thick free–free emission from the low corona [3], [4].</w:t>
      </w:r>
    </w:p>
    <w:p>
      <w:pPr>
        <w:spacing w:after="120" w:before="0" w:line="360"/>
        <w:ind w:firstLine="720"/>
        <w:jc w:val="both"/>
      </w:pPr>
      <w:r>
        <w:rPr>
          <w:rFonts w:ascii="Times New Roman" w:cs="Times New Roman" w:eastAsia="Times New Roman" w:hAnsi="Times New Roman"/>
          <w:sz w:val="26"/>
          <w:szCs w:val="26"/>
        </w:rPr>
        <w:t xml:space="preserve">The total flux density of an unresolved source is obtained by integrating the brightness distribution over the solid angle subtended by the source. For the quiet Sun, whose effective radio disc at decimetric wavelengths is somewhat larger than the optical disc (about 32 arcminutes in angular diameter), the integrated flux density at 610 MHz is conventionally measured in solar flux units (sfu), where one sfu equals 10⁻²² watts per square metre per hertz. Long-term monitoring data from the Space Weather Services (SWS) network of the Australian Bureau of Meteorology indicate a quiet-Sun flux density at 610 MHz of approximately 50–80 sfu, with significant variation tracking the solar activity cycle [5]. This value provides the baseline against which transient events — solar radio bursts — are measured.</w:t>
      </w:r>
    </w:p>
    <w:p>
      <w:pPr>
        <w:pStyle w:val="Heading3"/>
        <w:spacing w:after="120" w:before="240"/>
      </w:pPr>
      <w:r>
        <w:rPr>
          <w:rFonts w:ascii="Times New Roman" w:cs="Times New Roman" w:eastAsia="Times New Roman" w:hAnsi="Times New Roman"/>
          <w:b/>
          <w:bCs/>
          <w:i/>
          <w:iCs/>
          <w:sz w:val="26"/>
          <w:szCs w:val="26"/>
        </w:rPr>
        <w:t xml:space="preserve">2.1.3    Solar Bursts: Types I–V Classification</w:t>
      </w:r>
    </w:p>
    <w:p>
      <w:pPr>
        <w:spacing w:after="120" w:before="0" w:line="360"/>
        <w:ind w:firstLine="720"/>
        <w:jc w:val="both"/>
      </w:pPr>
      <w:r>
        <w:rPr>
          <w:rFonts w:ascii="Times New Roman" w:cs="Times New Roman" w:eastAsia="Times New Roman" w:hAnsi="Times New Roman"/>
          <w:sz w:val="26"/>
          <w:szCs w:val="26"/>
        </w:rPr>
        <w:t xml:space="preserve">Superimposed on the quiet-Sun background are transient enhancements in the radio flux, known generically as solar radio bursts. These events were first systematically catalogued in the 1950s by Wild and colleagues, whose classification scheme — based primarily on dynamic spectra (intensity as a function of both frequency and time) — remains in use today with relatively minor modifications [6], [7]. The five canonical burst types are summarised in Table 2.1 below; their differing characteristics reflect the underlying physical mechanisms by which they are generated.</w:t>
      </w:r>
    </w:p>
    <w:p>
      <w:pPr>
        <w:spacing w:after="60" w:before="240"/>
        <w:jc w:val="center"/>
      </w:pPr>
      <w:r>
        <w:rPr>
          <w:rFonts w:ascii="Times New Roman" w:cs="Times New Roman" w:eastAsia="Times New Roman" w:hAnsi="Times New Roman"/>
          <w:b/>
          <w:bCs/>
          <w:sz w:val="24"/>
          <w:szCs w:val="24"/>
        </w:rPr>
        <w:t xml:space="preserve">Table 2.1: </w:t>
      </w:r>
      <w:r>
        <w:rPr>
          <w:rFonts w:ascii="Times New Roman" w:cs="Times New Roman" w:eastAsia="Times New Roman" w:hAnsi="Times New Roman"/>
          <w:i/>
          <w:iCs/>
          <w:sz w:val="24"/>
          <w:szCs w:val="24"/>
        </w:rPr>
        <w:t xml:space="preserve">Classification of solar radio bursts according to Wild's original scheme [6], with modern refinements.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200"/>
        <w:gridCol w:w="2200"/>
        <w:gridCol w:w="1660"/>
      </w:tblGrid>
      <w:tr>
        <w:trPr>
          <w:tblHeader/>
        </w:trPr>
        <w:tc>
          <w:tcPr>
            <w:tcW w:type="dxa" w:w="11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Type</w:t>
            </w:r>
          </w:p>
        </w:tc>
        <w:tc>
          <w:tcPr>
            <w:tcW w:type="dxa" w:w="22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Frequency drift</w:t>
            </w:r>
          </w:p>
        </w:tc>
        <w:tc>
          <w:tcPr>
            <w:tcW w:type="dxa" w:w="22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Duration</w:t>
            </w:r>
          </w:p>
        </w:tc>
        <w:tc>
          <w:tcPr>
            <w:tcW w:type="dxa" w:w="22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Mechanism</w:t>
            </w:r>
          </w:p>
        </w:tc>
        <w:tc>
          <w:tcPr>
            <w:tcW w:type="dxa" w:w="166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Spectral range</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None (narrow-band)</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Seconds to hours</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Plasma emission from active regions</w:t>
            </w:r>
          </w:p>
        </w:tc>
        <w:tc>
          <w:tcPr>
            <w:tcW w:type="dxa" w:w="1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30–300 MHz</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II</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Slow (∼MHz s⁻¹)</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Minutes to tens of minutes</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Plasma emission from shock fronts</w:t>
            </w:r>
          </w:p>
        </w:tc>
        <w:tc>
          <w:tcPr>
            <w:tcW w:type="dxa" w:w="1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20–500 MHz</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III</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Very fast (∼20 MHz s⁻¹)</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1–10 seconds</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Plasma emission from electron beams</w:t>
            </w:r>
          </w:p>
        </w:tc>
        <w:tc>
          <w:tcPr>
            <w:tcW w:type="dxa" w:w="1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10 kHz – 1 GHz</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IV</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Slow or none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Tens of minutes to hours</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Gyro-synchrotron from trapped electrons</w:t>
            </w:r>
          </w:p>
        </w:tc>
        <w:tc>
          <w:tcPr>
            <w:tcW w:type="dxa" w:w="1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20 MHz – 5 GHz</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V</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Slow (extension of III)</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Seconds to minutes</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Plasma emission, broadband continuum</w:t>
            </w:r>
          </w:p>
        </w:tc>
        <w:tc>
          <w:tcPr>
            <w:tcW w:type="dxa" w:w="1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10–200 MHz</w:t>
            </w:r>
          </w:p>
        </w:tc>
      </w:tr>
    </w:tbl>
    <w:p>
      <w:pPr>
        <w:spacing w:after="240" w:before="0"/>
      </w:pPr>
      <w:r>
        <w:t xml:space="preserve"/>
      </w:r>
    </w:p>
    <w:p>
      <w:pPr>
        <w:spacing w:after="120" w:before="0" w:line="360"/>
        <w:ind w:firstLine="720"/>
        <w:jc w:val="both"/>
      </w:pPr>
      <w:r>
        <w:rPr>
          <w:rFonts w:ascii="Times New Roman" w:cs="Times New Roman" w:eastAsia="Times New Roman" w:hAnsi="Times New Roman"/>
          <w:sz w:val="26"/>
          <w:szCs w:val="26"/>
        </w:rPr>
        <w:t xml:space="preserve">The burst types relevant to the present work are those whose spectral range overlaps with the observing frequency of 610 MHz. Type II and Type III bursts both extend into this range. Type III bursts are produced by streams of suprathermal electrons accelerated during the impulsive phase of a flare; as the electrons propagate outward along open magnetic field lines into regions of progressively lower plasma density, they excite Langmuir waves at the local plasma frequency, a portion of which is converted into observable electromagnetic radiation. The rapid outward motion produces the characteristic fast frequency drift, on the order of 20 MHz s⁻¹ at decimetric wavelengths, that is the spectral signature of Type III emission [7], [8]. Type II bursts, by contrast, are produced by shock waves driven by coronal mass ejections; the shocks accelerate electrons at the local plasma frequency, and their slower outward propagation manifests as a much slower frequency drift of order 1 MHz s⁻¹.</w:t>
      </w:r>
    </w:p>
    <w:p>
      <w:pPr>
        <w:spacing w:after="120" w:before="0" w:line="360"/>
        <w:ind w:firstLine="720"/>
        <w:jc w:val="both"/>
      </w:pPr>
      <w:r>
        <w:rPr>
          <w:rFonts w:ascii="Times New Roman" w:cs="Times New Roman" w:eastAsia="Times New Roman" w:hAnsi="Times New Roman"/>
          <w:sz w:val="26"/>
          <w:szCs w:val="26"/>
        </w:rPr>
        <w:t xml:space="preserve">Type IV bursts deserve particular attention in the context of this thesis. Unlike the impulsive Type III and the shock-driven Type II, Type IV emission is a broadband continuum generated by gyro-synchrotron radiation from energetic electrons trapped in closed magnetic field structures in the corona [9]. The emission is typically circularly polarised and persists for tens of minutes to several hours after the impulsive phase of a flare. Crucially for the present work, Type IV bursts at decimetric frequencies are spatially compact — typical source sizes lie in the range of 1 to 5 arcminutes — and their integrated flux density can reach 10³ to 10⁵ sfu, two to four orders of magnitude above the quiet-Sun background [9], [10]. A compact, bright, slowly varying source of this kind is the natural target for the small-baseline interferometer simulated in this work.</w:t>
      </w:r>
    </w:p>
    <w:p>
      <w:pPr>
        <w:spacing w:after="60" w:before="240"/>
        <w:jc w:val="center"/>
      </w:pPr>
      <w:r>
        <w:rPr>
          <w:rFonts w:ascii="Times New Roman" w:cs="Times New Roman" w:eastAsia="Times New Roman" w:hAnsi="Times New Roman"/>
          <w:i/>
          <w:iCs/>
          <w:color w:val="888888"/>
          <w:sz w:val="24"/>
          <w:szCs w:val="24"/>
        </w:rPr>
        <w:t xml:space="preserve">[Figure 2.2 placeholder — see Description below]</w:t>
      </w:r>
    </w:p>
    <w:p>
      <w:pPr>
        <w:spacing w:after="240" w:before="0"/>
        <w:jc w:val="center"/>
      </w:pPr>
      <w:r>
        <w:rPr>
          <w:rFonts w:ascii="Times New Roman" w:cs="Times New Roman" w:eastAsia="Times New Roman" w:hAnsi="Times New Roman"/>
          <w:b/>
          <w:bCs/>
          <w:sz w:val="24"/>
          <w:szCs w:val="24"/>
        </w:rPr>
        <w:t xml:space="preserve">Figure 2.2: </w:t>
      </w:r>
      <w:r>
        <w:rPr>
          <w:rFonts w:ascii="Times New Roman" w:cs="Times New Roman" w:eastAsia="Times New Roman" w:hAnsi="Times New Roman"/>
          <w:i/>
          <w:iCs/>
          <w:sz w:val="24"/>
          <w:szCs w:val="24"/>
        </w:rPr>
        <w:t xml:space="preserve">Idealised dynamic spectra of Type II, Type III, and Type IV solar radio bursts on a frequency–time plane. The fast frequency drift of Type III, the slow drift of Type II, and the broadband continuum of Type IV are clearly distinguished. The horizontal dashed line indicates the 610 MHz observing frequency of this work.</w:t>
      </w:r>
    </w:p>
    <w:p>
      <w:pPr>
        <w:pStyle w:val="Heading3"/>
        <w:spacing w:after="120" w:before="240"/>
      </w:pPr>
      <w:r>
        <w:rPr>
          <w:rFonts w:ascii="Times New Roman" w:cs="Times New Roman" w:eastAsia="Times New Roman" w:hAnsi="Times New Roman"/>
          <w:b/>
          <w:bCs/>
          <w:i/>
          <w:iCs/>
          <w:sz w:val="26"/>
          <w:szCs w:val="26"/>
        </w:rPr>
        <w:t xml:space="preserve">2.1.4    Microwave Bursts and Their Physical Origin</w:t>
      </w:r>
    </w:p>
    <w:p>
      <w:pPr>
        <w:spacing w:after="120" w:before="0" w:line="360"/>
        <w:ind w:firstLine="720"/>
        <w:jc w:val="both"/>
      </w:pPr>
      <w:r>
        <w:rPr>
          <w:rFonts w:ascii="Times New Roman" w:cs="Times New Roman" w:eastAsia="Times New Roman" w:hAnsi="Times New Roman"/>
          <w:sz w:val="26"/>
          <w:szCs w:val="26"/>
        </w:rPr>
        <w:t xml:space="preserve">The term microwave burst is used somewhat loosely in the literature to denote any burst whose spectrum extends into the UHF and L-band ranges (roughly 0.3–3 GHz). At these frequencies the dominant emission mechanism is gyro-synchrotron radiation rather than plasma emission. Gyro-synchrotron radiation is produced by mildly relativistic electrons (with Lorentz factors of order γ ∼ 2 to 5) spiralling around magnetic field lines in active regions of the corona [9], [11]. The emitted spectrum is broadband, with a characteristic peak frequency that depends on the magnetic field strength, the electron energy distribution, and the line-of-sight geometry; for typical coronal magnetic field strengths of a few hundred gauss, the spectral peak lies in the range of several hundred megahertz to a few gigahertz, encompassing the 610 MHz band considered here.</w:t>
      </w:r>
    </w:p>
    <w:p>
      <w:pPr>
        <w:spacing w:after="120" w:before="0" w:line="360"/>
        <w:ind w:firstLine="720"/>
        <w:jc w:val="both"/>
      </w:pPr>
      <w:r>
        <w:rPr>
          <w:rFonts w:ascii="Times New Roman" w:cs="Times New Roman" w:eastAsia="Times New Roman" w:hAnsi="Times New Roman"/>
          <w:sz w:val="26"/>
          <w:szCs w:val="26"/>
        </w:rPr>
        <w:t xml:space="preserve">Two features of gyro-synchrotron emission make microwave bursts particularly informative diagnostics of solar activity. First, the emission is intrinsically polarised, with the sense and degree of polarisation determined by the orientation of the magnetic field along the line of sight; measurement of the polarisation therefore provides direct information about coronal magnetic field topology, which is otherwise difficult to determine [11]. Second, the gyro-synchrotron spectrum has a well-defined turnover frequency below which the source becomes optically thick to its own emission; the position of this turnover yields constraints on the column density and magnetic field of the emitting region. The simulation work presented in subsequent chapters does not attempt to reproduce the full spectral or polarimetric behaviour of microwave bursts, but the underlying assumption — that 610 MHz is a frequency at which compact, transient sources of high brightness temperature are routinely observed — rests on the well-established physics summarised above.</w:t>
      </w:r>
    </w:p>
    <w:p>
      <w:pPr>
        <w:spacing w:after="120" w:before="0" w:line="360"/>
        <w:ind w:firstLine="720"/>
        <w:jc w:val="both"/>
      </w:pPr>
      <w:r>
        <w:rPr>
          <w:rFonts w:ascii="Times New Roman" w:cs="Times New Roman" w:eastAsia="Times New Roman" w:hAnsi="Times New Roman"/>
          <w:sz w:val="26"/>
          <w:szCs w:val="26"/>
        </w:rPr>
        <w:t xml:space="preserve">Finally, it is worth noting the practical reason for selecting 610 MHz specifically. Observations at lower frequencies (below approximately 300 MHz) are increasingly affected by ionospheric refraction and scintillation, which introduce time-variable phase distortions that complicate interferometric imaging. At higher frequencies (above approximately 2 GHz), antenna and feed engineering becomes more demanding, and the angular size of solar bursts relative to typical interferometer beams becomes correspondingly smaller. The decimetric band around 610 MHz represents a practical compromise — ionospheric effects are weak, antenna construction is straightforward using Yagi–Uda elements (as in this work), and microwave bursts in this band are common and well documented. These considerations also underlie the choice of 610 MHz by several long-running solar monitoring stations, including the Learmonth Solar Observatory in Western Australia whose archival data are used in Chapter 4 of this thesis [5].</w:t>
      </w:r>
    </w:p>
    <w:sectPr>
      <w:pgSz w:w="11906" w:h="16838" w:orient="portrait"/>
      <w:pgMar w:top="1440" w:right="108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2026-05-28T02:35:17.661Z</dcterms:created>
  <dcterms:modified xsi:type="dcterms:W3CDTF">2026-05-28T02:35:17.661Z</dcterms:modified>
</cp:coreProperties>
</file>

<file path=docProps/custom.xml><?xml version="1.0" encoding="utf-8"?>
<Properties xmlns="http://schemas.openxmlformats.org/officeDocument/2006/custom-properties" xmlns:vt="http://schemas.openxmlformats.org/officeDocument/2006/docPropsVTypes"/>
</file>