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80" w:before="360"/>
      </w:pPr>
      <w:r>
        <w:rPr>
          <w:rFonts w:ascii="Times New Roman" w:cs="Times New Roman" w:eastAsia="Times New Roman" w:hAnsi="Times New Roman"/>
          <w:b/>
          <w:bCs/>
          <w:sz w:val="28"/>
          <w:szCs w:val="28"/>
        </w:rPr>
        <w:t xml:space="preserve">2.2    Fundamentals of Antenna Theory</w:t>
      </w:r>
    </w:p>
    <w:p>
      <w:pPr>
        <w:spacing w:after="120" w:before="0" w:line="360"/>
        <w:ind w:firstLine="720"/>
        <w:jc w:val="both"/>
      </w:pPr>
      <w:r>
        <w:rPr>
          <w:rFonts w:ascii="Times New Roman" w:cs="Times New Roman" w:eastAsia="Times New Roman" w:hAnsi="Times New Roman"/>
          <w:sz w:val="26"/>
          <w:szCs w:val="26"/>
        </w:rPr>
        <w:t xml:space="preserve">An antenna is the physical interface between guided electromagnetic energy in a transmission line and free-space radiation. From the perspective of radio astronomy, the antenna is the first element in the receiving chain: it determines the angular response of the instrument, sets an upper bound on the collecting area, and through its impedance characteristics influences both the bandwidth and the noise budget of the system. A full treatment of antenna theory would occupy many volumes; the canonical references are the textbooks by Balanis [12] and Stutzman and Thiele [13]. This section restricts itself to those concepts that are essential for understanding the modelling work in Chapter 3 and the signal-pipeline derivations in Chapter 4: the reciprocity-based view of receiving antennas, the standard figures of merit (radiation pattern, gain, directivity), the concept of effective aperture and its connection to received power through the Friis equation, and the specific case of the Yagi–Uda antenna that is used as the array element throughout this work.</w:t>
      </w:r>
    </w:p>
    <w:p>
      <w:pPr>
        <w:pStyle w:val="Heading3"/>
        <w:spacing w:after="120" w:before="240"/>
      </w:pPr>
      <w:r>
        <w:rPr>
          <w:rFonts w:ascii="Times New Roman" w:cs="Times New Roman" w:eastAsia="Times New Roman" w:hAnsi="Times New Roman"/>
          <w:b/>
          <w:bCs/>
          <w:i/>
          <w:iCs/>
          <w:sz w:val="26"/>
          <w:szCs w:val="26"/>
        </w:rPr>
        <w:t xml:space="preserve">2.2.1    The Antenna as an Electromagnetic-to-Voltage Transducer</w:t>
      </w:r>
    </w:p>
    <w:p>
      <w:pPr>
        <w:spacing w:after="120" w:before="0" w:line="360"/>
        <w:ind w:firstLine="720"/>
        <w:jc w:val="both"/>
      </w:pPr>
      <w:r>
        <w:rPr>
          <w:rFonts w:ascii="Times New Roman" w:cs="Times New Roman" w:eastAsia="Times New Roman" w:hAnsi="Times New Roman"/>
          <w:sz w:val="26"/>
          <w:szCs w:val="26"/>
        </w:rPr>
        <w:t xml:space="preserve">In the transmit case, the antenna converts a voltage or current at its feed point into a radiated electromagnetic field. In the receive case — which is the case of interest in this thesis — the antenna performs the reverse transformation: an incident electromagnetic plane wave excites currents on the conducting structure, and these currents drive a voltage across the feed terminals. The voltage so induced is then delivered to the receiver chain through a transmission line. A crucial result of classical electromagnetics, known as the reciprocity theorem, establishes that the radiation pattern of an antenna in transmission is identical to its sensitivity pattern in reception, provided the antenna is composed of linear, isotropic, and time-invariant media [12]. This equivalence has a profound practical consequence: an antenna's behaviour as a receiver can be fully predicted from electromagnetic simulations that compute its transmit pattern. Throughout this thesis, antenna properties are computed in transmit mode using full-wave solvers (4NEC2 and CST Studio Suite), and the resulting patterns are interpreted as receive responses without further modification.</w:t>
      </w:r>
    </w:p>
    <w:p>
      <w:pPr>
        <w:spacing w:after="120" w:before="0" w:line="360"/>
        <w:ind w:firstLine="720"/>
        <w:jc w:val="both"/>
      </w:pPr>
      <w:r>
        <w:rPr>
          <w:rFonts w:ascii="Times New Roman" w:cs="Times New Roman" w:eastAsia="Times New Roman" w:hAnsi="Times New Roman"/>
          <w:sz w:val="26"/>
          <w:szCs w:val="26"/>
        </w:rPr>
        <w:t xml:space="preserve">A second consequence of reciprocity, less often emphasised in introductory texts but essential to the present work, concerns the polarisation response. The antenna couples efficiently only to the component of the incident electric field aligned with its own polarisation axis. For the linearly polarised Yagi–Uda elements considered here, this means that only the co-polarised component of any incoming radiation produces a voltage at the feed; the orthogonal (cross-polarised) component is rejected to a degree determined by the cross-polarisation isolation of the antenna design. For the gyro-synchrotron emission characteristic of microwave solar bursts, which can be substantially circularly polarised, a linearly polarised receiver collects only half of the available power on average; this factor of two loss is absorbed into the system sensitivity calculations of Section 2.3.3.</w:t>
      </w:r>
    </w:p>
    <w:p>
      <w:pPr>
        <w:pStyle w:val="Heading3"/>
        <w:spacing w:after="120" w:before="240"/>
      </w:pPr>
      <w:r>
        <w:rPr>
          <w:rFonts w:ascii="Times New Roman" w:cs="Times New Roman" w:eastAsia="Times New Roman" w:hAnsi="Times New Roman"/>
          <w:b/>
          <w:bCs/>
          <w:i/>
          <w:iCs/>
          <w:sz w:val="26"/>
          <w:szCs w:val="26"/>
        </w:rPr>
        <w:t xml:space="preserve">2.2.2    Radiation Pattern, Gain, Directivity, and Polarisation</w:t>
      </w:r>
    </w:p>
    <w:p>
      <w:pPr>
        <w:spacing w:after="120" w:before="0" w:line="360"/>
        <w:ind w:firstLine="720"/>
        <w:jc w:val="both"/>
      </w:pPr>
      <w:r>
        <w:rPr>
          <w:rFonts w:ascii="Times New Roman" w:cs="Times New Roman" w:eastAsia="Times New Roman" w:hAnsi="Times New Roman"/>
          <w:sz w:val="26"/>
          <w:szCs w:val="26"/>
        </w:rPr>
        <w:t xml:space="preserve">The radiation pattern of an antenna is the angular distribution of radiated power density in the far field, normalised so that the maximum value equals unity. Mathematically, it is a function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(θ, φ) of the two spherical angles θ (polar) and φ (azimuthal). The full angular characterisation includes both the magnitude pattern and the phase pattern; for the purposes of interferometry the magnitude pattern is the more important of the two, although phase information becomes critical in the analysis of mutual coupling discussed in Chapter 3. Two integrated figures of merit are derived from the pattern. The </w:t>
      </w:r>
      <w:r>
        <w:rPr>
          <w:rFonts w:ascii="Times New Roman" w:cs="Times New Roman" w:eastAsia="Times New Roman" w:hAnsi="Times New Roman"/>
          <w:i/>
          <w:iCs/>
          <w:sz w:val="26"/>
          <w:szCs w:val="26"/>
        </w:rPr>
        <w:t xml:space="preserve">directivity</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D</w:t>
      </w:r>
      <w:r>
        <w:rPr>
          <w:rFonts w:ascii="Times New Roman" w:cs="Times New Roman" w:eastAsia="Times New Roman" w:hAnsi="Times New Roman"/>
          <w:sz w:val="26"/>
          <w:szCs w:val="26"/>
        </w:rPr>
        <w:t xml:space="preserve"> is the ratio of the maximum radiation intensity to the intensity that would be obtained if the same total power were radiated isotropically; it is therefore a purely geometric property of the antenna. The </w:t>
      </w:r>
      <w:r>
        <w:rPr>
          <w:rFonts w:ascii="Times New Roman" w:cs="Times New Roman" w:eastAsia="Times New Roman" w:hAnsi="Times New Roman"/>
          <w:i/>
          <w:iCs/>
          <w:sz w:val="26"/>
          <w:szCs w:val="26"/>
        </w:rPr>
        <w:t xml:space="preserve">gain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G</w:t>
      </w:r>
      <w:r>
        <w:rPr>
          <w:rFonts w:ascii="Times New Roman" w:cs="Times New Roman" w:eastAsia="Times New Roman" w:hAnsi="Times New Roman"/>
          <w:sz w:val="26"/>
          <w:szCs w:val="26"/>
        </w:rPr>
        <w:t xml:space="preserve"> extends this concept to account for ohmic and dielectric losses in the structure, and is related to the directivity by </w:t>
      </w:r>
      <w:r>
        <w:rPr>
          <w:rFonts w:ascii="Times New Roman" w:cs="Times New Roman" w:eastAsia="Times New Roman" w:hAnsi="Times New Roman"/>
          <w:i/>
          <w:iCs/>
          <w:sz w:val="26"/>
          <w:szCs w:val="26"/>
        </w:rPr>
        <w:t xml:space="preserve">G</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η</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D</w:t>
      </w:r>
      <w:r>
        <w:rPr>
          <w:rFonts w:ascii="Times New Roman" w:cs="Times New Roman" w:eastAsia="Times New Roman" w:hAnsi="Times New Roman"/>
          <w:sz w:val="26"/>
          <w:szCs w:val="26"/>
        </w:rPr>
        <w:t xml:space="preserve">, where the radiation efficiency </w:t>
      </w:r>
      <w:r>
        <w:rPr>
          <w:rFonts w:ascii="Times New Roman" w:cs="Times New Roman" w:eastAsia="Times New Roman" w:hAnsi="Times New Roman"/>
          <w:i/>
          <w:iCs/>
          <w:sz w:val="26"/>
          <w:szCs w:val="26"/>
        </w:rPr>
        <w:t xml:space="preserve">η</w:t>
      </w:r>
      <w:r>
        <w:rPr>
          <w:rFonts w:ascii="Times New Roman" w:cs="Times New Roman" w:eastAsia="Times New Roman" w:hAnsi="Times New Roman"/>
          <w:sz w:val="26"/>
          <w:szCs w:val="26"/>
        </w:rPr>
        <w:t xml:space="preserve"> lies between 0 and 1. For well-designed Yagi–Uda antennas constructed from aluminium tubing, </w:t>
      </w:r>
      <w:r>
        <w:rPr>
          <w:rFonts w:ascii="Times New Roman" w:cs="Times New Roman" w:eastAsia="Times New Roman" w:hAnsi="Times New Roman"/>
          <w:i/>
          <w:iCs/>
          <w:sz w:val="26"/>
          <w:szCs w:val="26"/>
        </w:rPr>
        <w:t xml:space="preserve">η</w:t>
      </w:r>
      <w:r>
        <w:rPr>
          <w:rFonts w:ascii="Times New Roman" w:cs="Times New Roman" w:eastAsia="Times New Roman" w:hAnsi="Times New Roman"/>
          <w:sz w:val="26"/>
          <w:szCs w:val="26"/>
        </w:rPr>
        <w:t xml:space="preserve"> typically exceeds 0.9, so that gain and directivity are nearly interchangeable in practice [12].</w:t>
      </w:r>
    </w:p>
    <w:p>
      <w:pPr>
        <w:spacing w:after="120" w:before="0" w:line="360"/>
        <w:ind w:firstLine="720"/>
        <w:jc w:val="both"/>
      </w:pPr>
      <w:r>
        <w:rPr>
          <w:rFonts w:ascii="Times New Roman" w:cs="Times New Roman" w:eastAsia="Times New Roman" w:hAnsi="Times New Roman"/>
          <w:sz w:val="26"/>
          <w:szCs w:val="26"/>
        </w:rPr>
        <w:t xml:space="preserve">Two further parameters describe the spatial selectivity of the antenna. The </w:t>
      </w:r>
      <w:r>
        <w:rPr>
          <w:rFonts w:ascii="Times New Roman" w:cs="Times New Roman" w:eastAsia="Times New Roman" w:hAnsi="Times New Roman"/>
          <w:i/>
          <w:iCs/>
          <w:sz w:val="26"/>
          <w:szCs w:val="26"/>
        </w:rPr>
        <w:t xml:space="preserve">half-power beamwidth</w:t>
      </w:r>
      <w:r>
        <w:rPr>
          <w:rFonts w:ascii="Times New Roman" w:cs="Times New Roman" w:eastAsia="Times New Roman" w:hAnsi="Times New Roman"/>
          <w:sz w:val="26"/>
          <w:szCs w:val="26"/>
        </w:rPr>
        <w:t xml:space="preserve"> (HPBW) is the angular width, measured in the plane of interest, between the two points at which the pattern has fallen to one half of its peak value (–3 dB). For a Yagi antenna, the HPBW is conventionally specified separately in the E-plane (containing the electric field vector and the boresight direction) and the H-plane (containing the magnetic field vector and the boresight direction). The </w:t>
      </w:r>
      <w:r>
        <w:rPr>
          <w:rFonts w:ascii="Times New Roman" w:cs="Times New Roman" w:eastAsia="Times New Roman" w:hAnsi="Times New Roman"/>
          <w:i/>
          <w:iCs/>
          <w:sz w:val="26"/>
          <w:szCs w:val="26"/>
        </w:rPr>
        <w:t xml:space="preserve">front-to-back ratio</w:t>
      </w:r>
      <w:r>
        <w:rPr>
          <w:rFonts w:ascii="Times New Roman" w:cs="Times New Roman" w:eastAsia="Times New Roman" w:hAnsi="Times New Roman"/>
          <w:sz w:val="26"/>
          <w:szCs w:val="26"/>
        </w:rPr>
        <w:t xml:space="preserve"> (F/B) is the ratio of the gain in the boresight direction to the gain in the direction 180° opposite, expressed in decibels; it characterises the rejection of radiation arriving from behind the antenna and is an important figure of merit in environments with strong terrestrial interference sources.</w:t>
      </w:r>
    </w:p>
    <w:p>
      <w:pPr>
        <w:spacing w:after="120" w:before="0" w:line="360"/>
        <w:ind w:firstLine="720"/>
        <w:jc w:val="both"/>
      </w:pPr>
      <w:r>
        <w:rPr>
          <w:rFonts w:ascii="Times New Roman" w:cs="Times New Roman" w:eastAsia="Times New Roman" w:hAnsi="Times New Roman"/>
          <w:sz w:val="26"/>
          <w:szCs w:val="26"/>
        </w:rPr>
        <w:t xml:space="preserve">The </w:t>
      </w:r>
      <w:r>
        <w:rPr>
          <w:rFonts w:ascii="Times New Roman" w:cs="Times New Roman" w:eastAsia="Times New Roman" w:hAnsi="Times New Roman"/>
          <w:i/>
          <w:iCs/>
          <w:sz w:val="26"/>
          <w:szCs w:val="26"/>
        </w:rPr>
        <w:t xml:space="preserve">solid angle</w:t>
      </w:r>
      <w:r>
        <w:rPr>
          <w:rFonts w:ascii="Times New Roman" w:cs="Times New Roman" w:eastAsia="Times New Roman" w:hAnsi="Times New Roman"/>
          <w:sz w:val="26"/>
          <w:szCs w:val="26"/>
        </w:rPr>
        <w:t xml:space="preserve"> subtended by the main beam, denoted Ω</w:t>
      </w:r>
      <w:r>
        <w:rPr>
          <w:rFonts w:ascii="Times New Roman" w:cs="Times New Roman" w:eastAsia="Times New Roman" w:hAnsi="Times New Roman"/>
          <w:sz w:val="26"/>
          <w:szCs w:val="26"/>
          <w:vertAlign w:val="subscript"/>
        </w:rPr>
        <w:t xml:space="preserve">A</w:t>
      </w:r>
      <w:r>
        <w:rPr>
          <w:rFonts w:ascii="Times New Roman" w:cs="Times New Roman" w:eastAsia="Times New Roman" w:hAnsi="Times New Roman"/>
          <w:sz w:val="26"/>
          <w:szCs w:val="26"/>
        </w:rPr>
        <w:t xml:space="preserve">, is the integral of the normalised pattern over all solid angles:</w:t>
      </w:r>
    </w:p>
    <w:p>
      <w:pPr>
        <w:tabs>
          <w:tab w:val="right" w:pos="9026"/>
        </w:tabs>
        <w:spacing w:after="120" w:before="120" w:line="360"/>
        <w:jc w:val="center"/>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Ω</w:t>
      </w:r>
      <w:r>
        <w:rPr>
          <w:rFonts w:ascii="Times New Roman" w:cs="Times New Roman" w:eastAsia="Times New Roman" w:hAnsi="Times New Roman"/>
          <w:i/>
          <w:iCs/>
          <w:sz w:val="26"/>
          <w:szCs w:val="26"/>
          <w:vertAlign w:val="subscript"/>
        </w:rPr>
        <w:t xml:space="preserve">A</w:t>
      </w:r>
      <w:r>
        <w:rPr>
          <w:rFonts w:ascii="Times New Roman" w:cs="Times New Roman" w:eastAsia="Times New Roman" w:hAnsi="Times New Roman"/>
          <w:sz w:val="26"/>
          <w:szCs w:val="26"/>
        </w:rPr>
        <w:t xml:space="preserve"> = ∫∫ </w:t>
      </w:r>
      <w:r>
        <w:rPr>
          <w:rFonts w:ascii="Times New Roman" w:cs="Times New Roman" w:eastAsia="Times New Roman" w:hAnsi="Times New Roman"/>
          <w:i/>
          <w:iCs/>
          <w:sz w:val="26"/>
          <w:szCs w:val="26"/>
        </w:rPr>
        <w:t xml:space="preserve">F</w:t>
      </w:r>
      <w:r>
        <w:rPr>
          <w:rFonts w:ascii="Times New Roman" w:cs="Times New Roman" w:eastAsia="Times New Roman" w:hAnsi="Times New Roman"/>
          <w:i/>
          <w:iCs/>
          <w:sz w:val="26"/>
          <w:szCs w:val="26"/>
        </w:rPr>
        <w:t xml:space="preserve">(θ, φ) dΩ,    where dΩ = sin θ dθ dφ.</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(2.2)</w:t>
      </w:r>
    </w:p>
    <w:p>
      <w:pPr>
        <w:spacing w:after="120" w:before="0" w:line="360"/>
        <w:ind w:firstLine="720"/>
        <w:jc w:val="both"/>
      </w:pPr>
      <w:r>
        <w:rPr>
          <w:rFonts w:ascii="Times New Roman" w:cs="Times New Roman" w:eastAsia="Times New Roman" w:hAnsi="Times New Roman"/>
          <w:sz w:val="26"/>
          <w:szCs w:val="26"/>
        </w:rPr>
        <w:t xml:space="preserve">The beam solid angle has units of steradians and provides a single number that summarises the angular selectivity of the antenna. The relationship between beam solid angle and directivity is particularly clean for a lossless antenna:</w:t>
      </w:r>
    </w:p>
    <w:p>
      <w:pPr>
        <w:tabs>
          <w:tab w:val="right" w:pos="9026"/>
        </w:tabs>
        <w:spacing w:after="120" w:before="120" w:line="360"/>
        <w:jc w:val="center"/>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D</w:t>
      </w:r>
      <w:r>
        <w:rPr>
          <w:rFonts w:ascii="Times New Roman" w:cs="Times New Roman" w:eastAsia="Times New Roman" w:hAnsi="Times New Roman"/>
          <w:sz w:val="26"/>
          <w:szCs w:val="26"/>
        </w:rPr>
        <w:t xml:space="preserve"> = 4π / </w:t>
      </w:r>
      <w:r>
        <w:rPr>
          <w:rFonts w:ascii="Times New Roman" w:cs="Times New Roman" w:eastAsia="Times New Roman" w:hAnsi="Times New Roman"/>
          <w:i/>
          <w:iCs/>
          <w:sz w:val="26"/>
          <w:szCs w:val="26"/>
        </w:rPr>
        <w:t xml:space="preserve">Ω</w:t>
      </w:r>
      <w:r>
        <w:rPr>
          <w:rFonts w:ascii="Times New Roman" w:cs="Times New Roman" w:eastAsia="Times New Roman" w:hAnsi="Times New Roman"/>
          <w:i/>
          <w:iCs/>
          <w:sz w:val="26"/>
          <w:szCs w:val="26"/>
          <w:vertAlign w:val="subscript"/>
        </w:rPr>
        <w:t xml:space="preserve">A</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(2.3)</w:t>
      </w:r>
    </w:p>
    <w:p>
      <w:pPr>
        <w:spacing w:after="120" w:before="0" w:line="360"/>
        <w:ind w:firstLine="720"/>
        <w:jc w:val="both"/>
      </w:pPr>
      <w:r>
        <w:rPr>
          <w:rFonts w:ascii="Times New Roman" w:cs="Times New Roman" w:eastAsia="Times New Roman" w:hAnsi="Times New Roman"/>
          <w:sz w:val="26"/>
          <w:szCs w:val="26"/>
        </w:rPr>
        <w:t xml:space="preserve">This expression is intuitively appealing: an antenna that concentrates its radiation into a small solid angle necessarily has a large directivity, and conversely. Equation (2.3) provides a quick sanity check on simulated antenna patterns: integrating the simulated pattern numerically and computing 4π divided by the result should reproduce the gain reported by the solver. Discrepancies, if any, typically indicate an error in the simulation setup, most often a normalisation issue with the radiated power.</w:t>
      </w:r>
    </w:p>
    <w:p>
      <w:pPr>
        <w:spacing w:after="60" w:before="240"/>
        <w:jc w:val="center"/>
      </w:pPr>
      <w:r>
        <w:rPr>
          <w:rFonts w:ascii="Times New Roman" w:cs="Times New Roman" w:eastAsia="Times New Roman" w:hAnsi="Times New Roman"/>
          <w:i/>
          <w:iCs/>
          <w:color w:val="888888"/>
          <w:sz w:val="24"/>
          <w:szCs w:val="24"/>
        </w:rPr>
        <w:t xml:space="preserve">[Figure 2.3 placeholder — see Description below]</w:t>
      </w:r>
    </w:p>
    <w:p>
      <w:pPr>
        <w:spacing w:after="240" w:before="0"/>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i/>
          <w:iCs/>
          <w:sz w:val="24"/>
          <w:szCs w:val="24"/>
        </w:rPr>
        <w:t xml:space="preserve">Definition of antenna pattern parameters illustrated for a directional antenna. The main lobe is bounded by the half-power beamwidth (HPBW); side lobes and the back lobe are indicated. The front-to-back ratio is the ratio of gain in the boresight direction to the gain in the 180° direction.</w:t>
      </w:r>
    </w:p>
    <w:p>
      <w:pPr>
        <w:pStyle w:val="Heading3"/>
        <w:spacing w:after="120" w:before="240"/>
      </w:pPr>
      <w:r>
        <w:rPr>
          <w:rFonts w:ascii="Times New Roman" w:cs="Times New Roman" w:eastAsia="Times New Roman" w:hAnsi="Times New Roman"/>
          <w:b/>
          <w:bCs/>
          <w:i/>
          <w:iCs/>
          <w:sz w:val="26"/>
          <w:szCs w:val="26"/>
        </w:rPr>
        <w:t xml:space="preserve">2.2.3    Effective Aperture and the Friis Reception Equation</w:t>
      </w:r>
    </w:p>
    <w:p>
      <w:pPr>
        <w:spacing w:after="120" w:before="0" w:line="360"/>
        <w:ind w:firstLine="720"/>
        <w:jc w:val="both"/>
      </w:pPr>
      <w:r>
        <w:rPr>
          <w:rFonts w:ascii="Times New Roman" w:cs="Times New Roman" w:eastAsia="Times New Roman" w:hAnsi="Times New Roman"/>
          <w:sz w:val="26"/>
          <w:szCs w:val="26"/>
        </w:rPr>
        <w:t xml:space="preserve">For an antenna in receive mode, the most important quantity is the </w:t>
      </w:r>
      <w:r>
        <w:rPr>
          <w:rFonts w:ascii="Times New Roman" w:cs="Times New Roman" w:eastAsia="Times New Roman" w:hAnsi="Times New Roman"/>
          <w:i/>
          <w:iCs/>
          <w:sz w:val="26"/>
          <w:szCs w:val="26"/>
        </w:rPr>
        <w:t xml:space="preserve">effective aperture</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w:t>
      </w:r>
      <w:r>
        <w:rPr>
          <w:rFonts w:ascii="Times New Roman" w:cs="Times New Roman" w:eastAsia="Times New Roman" w:hAnsi="Times New Roman"/>
          <w:sz w:val="26"/>
          <w:szCs w:val="26"/>
          <w:vertAlign w:val="subscript"/>
        </w:rPr>
        <w:t xml:space="preserve">e</w:t>
      </w:r>
      <w:r>
        <w:rPr>
          <w:rFonts w:ascii="Times New Roman" w:cs="Times New Roman" w:eastAsia="Times New Roman" w:hAnsi="Times New Roman"/>
          <w:sz w:val="26"/>
          <w:szCs w:val="26"/>
        </w:rPr>
        <w:t xml:space="preserve">, defined as the ratio of the power delivered to a matched load at the antenna terminals to the power flux density (in watts per square metre per hertz, or watts per square metre depending on context) of an incoming plane wave aligned with the antenna's polarisation and arriving from the boresight direction. The effective aperture has units of square metres and may be interpreted geometrically as the cross-sectional area of the incident wavefront from which the antenna extracts power. Reciprocity provides a remarkably general result linking effective aperture to gain [12]:</w:t>
      </w:r>
    </w:p>
    <w:p>
      <w:pPr>
        <w:tabs>
          <w:tab w:val="right" w:pos="9026"/>
        </w:tabs>
        <w:spacing w:after="120" w:before="120" w:line="360"/>
        <w:jc w:val="center"/>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e</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λ</w:t>
      </w:r>
      <w:r>
        <w:rPr>
          <w:rFonts w:ascii="Times New Roman" w:cs="Times New Roman" w:eastAsia="Times New Roman" w:hAnsi="Times New Roman"/>
          <w:sz w:val="26"/>
          <w:szCs w:val="26"/>
          <w:vertAlign w:val="superscript"/>
        </w:rPr>
        <w:t xml:space="preserve">2</w:t>
      </w:r>
      <w:r>
        <w:rPr>
          <w:rFonts w:ascii="Times New Roman" w:cs="Times New Roman" w:eastAsia="Times New Roman" w:hAnsi="Times New Roman"/>
          <w:sz w:val="26"/>
          <w:szCs w:val="26"/>
        </w:rPr>
        <w:t xml:space="preserve"> / (4π),</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(2.4)</w:t>
      </w:r>
    </w:p>
    <w:p>
      <w:pPr>
        <w:spacing w:after="120" w:before="0" w:line="360"/>
        <w:ind w:firstLine="720"/>
        <w:jc w:val="both"/>
      </w:pPr>
      <w:r>
        <w:rPr>
          <w:rFonts w:ascii="Times New Roman" w:cs="Times New Roman" w:eastAsia="Times New Roman" w:hAnsi="Times New Roman"/>
          <w:sz w:val="26"/>
          <w:szCs w:val="26"/>
        </w:rPr>
        <w:t xml:space="preserve">where </w:t>
      </w:r>
      <w:r>
        <w:rPr>
          <w:rFonts w:ascii="Times New Roman" w:cs="Times New Roman" w:eastAsia="Times New Roman" w:hAnsi="Times New Roman"/>
          <w:i/>
          <w:iCs/>
          <w:sz w:val="26"/>
          <w:szCs w:val="26"/>
        </w:rPr>
        <w:t xml:space="preserve">λ</w:t>
      </w:r>
      <w:r>
        <w:rPr>
          <w:rFonts w:ascii="Times New Roman" w:cs="Times New Roman" w:eastAsia="Times New Roman" w:hAnsi="Times New Roman"/>
          <w:sz w:val="26"/>
          <w:szCs w:val="26"/>
        </w:rPr>
        <w:t xml:space="preserve"> is the wavelength of the incident radiation. This equation is fundamental to the radiometry of the present work. For the commercial UHF Yagi antenna used as the array element, with an estimated gain of approximately 12 dBi (a linear gain of 15.85) at 610 MHz and a corresponding wavelength of 0.492 m, Equation (2.4) yields an effective aperture of approximately 0.31 m². This value is used directly in the signal-power calculations of Chapter 4.</w:t>
      </w:r>
    </w:p>
    <w:p>
      <w:pPr>
        <w:spacing w:after="120" w:before="0" w:line="360"/>
        <w:ind w:firstLine="720"/>
        <w:jc w:val="both"/>
      </w:pPr>
      <w:r>
        <w:rPr>
          <w:rFonts w:ascii="Times New Roman" w:cs="Times New Roman" w:eastAsia="Times New Roman" w:hAnsi="Times New Roman"/>
          <w:sz w:val="26"/>
          <w:szCs w:val="26"/>
        </w:rPr>
        <w:t xml:space="preserve">The power </w:t>
      </w:r>
      <w:r>
        <w:rPr>
          <w:rFonts w:ascii="Times New Roman" w:cs="Times New Roman" w:eastAsia="Times New Roman" w:hAnsi="Times New Roman"/>
          <w:i/>
          <w:iCs/>
          <w:sz w:val="26"/>
          <w:szCs w:val="26"/>
        </w:rPr>
        <w:t xml:space="preserve">P</w:t>
      </w:r>
      <w:r>
        <w:rPr>
          <w:rFonts w:ascii="Times New Roman" w:cs="Times New Roman" w:eastAsia="Times New Roman" w:hAnsi="Times New Roman"/>
          <w:sz w:val="26"/>
          <w:szCs w:val="26"/>
          <w:vertAlign w:val="subscript"/>
        </w:rPr>
        <w:t xml:space="preserve">r</w:t>
      </w:r>
      <w:r>
        <w:rPr>
          <w:rFonts w:ascii="Times New Roman" w:cs="Times New Roman" w:eastAsia="Times New Roman" w:hAnsi="Times New Roman"/>
          <w:sz w:val="26"/>
          <w:szCs w:val="26"/>
        </w:rPr>
        <w:t xml:space="preserve"> delivered to the antenna terminals when an incident wave of flux density </w:t>
      </w:r>
      <w:r>
        <w:rPr>
          <w:rFonts w:ascii="Times New Roman" w:cs="Times New Roman" w:eastAsia="Times New Roman" w:hAnsi="Times New Roman"/>
          <w:i/>
          <w:iCs/>
          <w:sz w:val="26"/>
          <w:szCs w:val="26"/>
        </w:rPr>
        <w:t xml:space="preserve">S</w:t>
      </w:r>
      <w:r>
        <w:rPr>
          <w:rFonts w:ascii="Times New Roman" w:cs="Times New Roman" w:eastAsia="Times New Roman" w:hAnsi="Times New Roman"/>
          <w:sz w:val="26"/>
          <w:szCs w:val="26"/>
        </w:rPr>
        <w:t xml:space="preserve"> (in watts per square metre per hertz) illuminates the antenna over a bandwidth </w:t>
      </w:r>
      <w:r>
        <w:rPr>
          <w:rFonts w:ascii="Times New Roman" w:cs="Times New Roman" w:eastAsia="Times New Roman" w:hAnsi="Times New Roman"/>
          <w:i/>
          <w:iCs/>
          <w:sz w:val="26"/>
          <w:szCs w:val="26"/>
        </w:rPr>
        <w:t xml:space="preserve">Δν</w:t>
      </w:r>
      <w:r>
        <w:rPr>
          <w:rFonts w:ascii="Times New Roman" w:cs="Times New Roman" w:eastAsia="Times New Roman" w:hAnsi="Times New Roman"/>
          <w:sz w:val="26"/>
          <w:szCs w:val="26"/>
        </w:rPr>
        <w:t xml:space="preserve"> is then given by the </w:t>
      </w:r>
      <w:r>
        <w:rPr>
          <w:rFonts w:ascii="Times New Roman" w:cs="Times New Roman" w:eastAsia="Times New Roman" w:hAnsi="Times New Roman"/>
          <w:i/>
          <w:iCs/>
          <w:sz w:val="26"/>
          <w:szCs w:val="26"/>
        </w:rPr>
        <w:t xml:space="preserve">Friis reception equation</w:t>
      </w:r>
      <w:r>
        <w:rPr>
          <w:rFonts w:ascii="Times New Roman" w:cs="Times New Roman" w:eastAsia="Times New Roman" w:hAnsi="Times New Roman"/>
          <w:sz w:val="26"/>
          <w:szCs w:val="26"/>
        </w:rPr>
        <w:t xml:space="preserve">:</w:t>
      </w:r>
    </w:p>
    <w:p>
      <w:pPr>
        <w:tabs>
          <w:tab w:val="right" w:pos="9026"/>
        </w:tabs>
        <w:spacing w:after="120" w:before="120" w:line="360"/>
        <w:jc w:val="center"/>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r</w:t>
      </w:r>
      <w:r>
        <w:rPr>
          <w:rFonts w:ascii="Times New Roman" w:cs="Times New Roman" w:eastAsia="Times New Roman" w:hAnsi="Times New Roman"/>
          <w:sz w:val="26"/>
          <w:szCs w:val="26"/>
        </w:rPr>
        <w:t xml:space="preserve"> = ½ </w:t>
      </w:r>
      <w:r>
        <w:rPr>
          <w:rFonts w:ascii="Times New Roman" w:cs="Times New Roman" w:eastAsia="Times New Roman" w:hAnsi="Times New Roman"/>
          <w:i/>
          <w:iCs/>
          <w:sz w:val="26"/>
          <w:szCs w:val="26"/>
        </w:rPr>
        <w:t xml:space="preserve">S</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e</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Δν</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(2.5)</w:t>
      </w:r>
    </w:p>
    <w:p>
      <w:pPr>
        <w:spacing w:after="120" w:before="0" w:line="360"/>
        <w:ind w:firstLine="720"/>
        <w:jc w:val="both"/>
      </w:pPr>
      <w:r>
        <w:rPr>
          <w:rFonts w:ascii="Times New Roman" w:cs="Times New Roman" w:eastAsia="Times New Roman" w:hAnsi="Times New Roman"/>
          <w:sz w:val="26"/>
          <w:szCs w:val="26"/>
        </w:rPr>
        <w:t xml:space="preserve">where the factor of one-half accounts for the polarisation mismatch between a randomly polarised astronomical source and a linearly polarised receiving antenna [1]. For a partially polarised source such as a gyro-synchrotron solar burst, this factor is replaced by a polarisation-dependent coefficient that lies between 0.5 (unpolarised or fully cross-polarised) and 1.0 (matched polarisation). In the present work, the conservative value of 0.5 is adopted throughout, with the understanding that any specific burst may produce a stronger signal than predicted; this conservatism is appropriate for sensitivity calculations and worst-case detection analyses.</w:t>
      </w:r>
    </w:p>
    <w:p>
      <w:pPr>
        <w:spacing w:after="120" w:before="0" w:line="360"/>
        <w:ind w:firstLine="720"/>
        <w:jc w:val="both"/>
      </w:pPr>
      <w:r>
        <w:rPr>
          <w:rFonts w:ascii="Times New Roman" w:cs="Times New Roman" w:eastAsia="Times New Roman" w:hAnsi="Times New Roman"/>
          <w:sz w:val="26"/>
          <w:szCs w:val="26"/>
        </w:rPr>
        <w:t xml:space="preserve">Equation (2.5) provides the link between the solar flux density values reported in the SWS Learmonth archive (in solar flux units, sfu = 10</w:t>
      </w:r>
      <w:r>
        <w:rPr>
          <w:rFonts w:ascii="Times New Roman" w:cs="Times New Roman" w:eastAsia="Times New Roman" w:hAnsi="Times New Roman"/>
          <w:sz w:val="26"/>
          <w:szCs w:val="26"/>
          <w:vertAlign w:val="superscript"/>
        </w:rPr>
        <w:t xml:space="preserve">−22</w:t>
      </w:r>
      <w:r>
        <w:rPr>
          <w:rFonts w:ascii="Times New Roman" w:cs="Times New Roman" w:eastAsia="Times New Roman" w:hAnsi="Times New Roman"/>
          <w:sz w:val="26"/>
          <w:szCs w:val="26"/>
        </w:rPr>
        <w:t xml:space="preserve"> W m</w:t>
      </w:r>
      <w:r>
        <w:rPr>
          <w:rFonts w:ascii="Times New Roman" w:cs="Times New Roman" w:eastAsia="Times New Roman" w:hAnsi="Times New Roman"/>
          <w:sz w:val="26"/>
          <w:szCs w:val="26"/>
          <w:vertAlign w:val="superscript"/>
        </w:rPr>
        <w:t xml:space="preserve">−2</w:t>
      </w:r>
      <w:r>
        <w:rPr>
          <w:rFonts w:ascii="Times New Roman" w:cs="Times New Roman" w:eastAsia="Times New Roman" w:hAnsi="Times New Roman"/>
          <w:sz w:val="26"/>
          <w:szCs w:val="26"/>
        </w:rPr>
        <w:t xml:space="preserve"> Hz</w:t>
      </w:r>
      <w:r>
        <w:rPr>
          <w:rFonts w:ascii="Times New Roman" w:cs="Times New Roman" w:eastAsia="Times New Roman" w:hAnsi="Times New Roman"/>
          <w:sz w:val="26"/>
          <w:szCs w:val="26"/>
          <w:vertAlign w:val="superscript"/>
        </w:rPr>
        <w:t xml:space="preserve">−1</w:t>
      </w:r>
      <w:r>
        <w:rPr>
          <w:rFonts w:ascii="Times New Roman" w:cs="Times New Roman" w:eastAsia="Times New Roman" w:hAnsi="Times New Roman"/>
          <w:sz w:val="26"/>
          <w:szCs w:val="26"/>
        </w:rPr>
        <w:t xml:space="preserve">) and the actual received power at the antenna terminals of the simulated array. This conversion is the starting point of the voltage-synthesis module of the pipeline (Chapter 4) and is therefore one of the most consequential equations in this thesis.</w:t>
      </w:r>
    </w:p>
    <w:p>
      <w:pPr>
        <w:pStyle w:val="Heading3"/>
        <w:spacing w:after="120" w:before="240"/>
      </w:pPr>
      <w:r>
        <w:rPr>
          <w:rFonts w:ascii="Times New Roman" w:cs="Times New Roman" w:eastAsia="Times New Roman" w:hAnsi="Times New Roman"/>
          <w:b/>
          <w:bCs/>
          <w:i/>
          <w:iCs/>
          <w:sz w:val="26"/>
          <w:szCs w:val="26"/>
        </w:rPr>
        <w:t xml:space="preserve">2.2.4    The Yagi–Uda Antenna: Structure and Operating Principle</w:t>
      </w:r>
    </w:p>
    <w:p>
      <w:pPr>
        <w:spacing w:after="120" w:before="0" w:line="360"/>
        <w:ind w:firstLine="720"/>
        <w:jc w:val="both"/>
      </w:pPr>
      <w:r>
        <w:rPr>
          <w:rFonts w:ascii="Times New Roman" w:cs="Times New Roman" w:eastAsia="Times New Roman" w:hAnsi="Times New Roman"/>
          <w:sz w:val="26"/>
          <w:szCs w:val="26"/>
        </w:rPr>
        <w:t xml:space="preserve">The Yagi–Uda antenna, introduced by Uda and popularised internationally by Yagi in the late 1920s, is one of the most widely used directional antennas in the HF, VHF, and UHF bands [14]. Its enduring popularity stems from a combination of high gain relative to its physical size, mechanical simplicity, low cost of manufacture, and well-understood scaling laws. A standard Yagi–Uda antenna consists of three classes of element arranged along a common boom:</w:t>
      </w:r>
    </w:p>
    <w:p>
      <w:pPr>
        <w:spacing w:after="120" w:before="0"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Driven element</w:t>
      </w:r>
      <w:r>
        <w:rPr>
          <w:rFonts w:ascii="Times New Roman" w:cs="Times New Roman" w:eastAsia="Times New Roman" w:hAnsi="Times New Roman"/>
          <w:sz w:val="26"/>
          <w:szCs w:val="26"/>
        </w:rPr>
        <w:t xml:space="preserve">: the single element to which the transmission line is connected. It is most commonly a half-wave dipole (or a folded dipole, as in the commercial antenna studied here) resonant at the operating frequency. All radiated power originates electrically at this element; the parasitic elements modify the radiation pattern by re-radiating fields induced by the driven element.</w:t>
      </w:r>
    </w:p>
    <w:p>
      <w:pPr>
        <w:spacing w:after="120" w:before="0"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Reflector</w:t>
      </w:r>
      <w:r>
        <w:rPr>
          <w:rFonts w:ascii="Times New Roman" w:cs="Times New Roman" w:eastAsia="Times New Roman" w:hAnsi="Times New Roman"/>
          <w:sz w:val="26"/>
          <w:szCs w:val="26"/>
        </w:rPr>
        <w:t xml:space="preserve">: a single parasitic element placed behind the driven element (away from the desired beam direction). It is typically slightly longer than the driven element, which causes it to present an inductive reactance to the field of the driven element. The phase of the induced current is such that the re-radiated field partially cancels the radiation in the backward direction and reinforces it in the forward direction.</w:t>
      </w:r>
    </w:p>
    <w:p>
      <w:pPr>
        <w:spacing w:after="120" w:before="0"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Directors</w:t>
      </w:r>
      <w:r>
        <w:rPr>
          <w:rFonts w:ascii="Times New Roman" w:cs="Times New Roman" w:eastAsia="Times New Roman" w:hAnsi="Times New Roman"/>
          <w:sz w:val="26"/>
          <w:szCs w:val="26"/>
        </w:rPr>
        <w:t xml:space="preserve">: one or more parasitic elements placed in front of the driven element, typically slightly shorter than the driven element. The capacitive reactance they present produces re-radiated fields that further concentrate the radiation in the forward direction. The number of directors is the principal lever for trading off gain against bandwidth and physical length: each additional director adds approximately 1 dB of gain up to about ten elements, with diminishing returns beyond that point.</w:t>
      </w:r>
    </w:p>
    <w:p>
      <w:pPr>
        <w:spacing w:after="120" w:before="0" w:line="360"/>
        <w:ind w:firstLine="720"/>
        <w:jc w:val="both"/>
      </w:pPr>
      <w:r>
        <w:rPr>
          <w:rFonts w:ascii="Times New Roman" w:cs="Times New Roman" w:eastAsia="Times New Roman" w:hAnsi="Times New Roman"/>
          <w:sz w:val="26"/>
          <w:szCs w:val="26"/>
        </w:rPr>
        <w:t xml:space="preserve">The commercial UHF DVB-T2 receiving antenna used as the array element in this thesis has one reflector, one folded driven element, and approximately ten directors arranged along a boom of total length approximately 0.7 m; the exact dimensions, measured directly from a physical sample, are documented in Chapter 3. The folded dipole driven element warrants additional comment because it differs in two important respects from the simple straight dipole that appears in introductory treatments. First, its input impedance is approximately four times that of an equivalent straight dipole — typically around 280 Ω rather than 73 Ω — which makes it more readily matched to a 300 Ω twin-lead or, with a quarter-wave balun, to a 75 Ω coaxial cable used in television and broadcast applications. Second, its bandwidth is somewhat broader than that of a straight dipole of similar dimensions, which is advantageous for the wideband UHF television service for which the antenna was designed [13].</w:t>
      </w:r>
    </w:p>
    <w:p>
      <w:pPr>
        <w:spacing w:after="120" w:before="0" w:line="360"/>
        <w:ind w:firstLine="720"/>
        <w:jc w:val="both"/>
      </w:pPr>
      <w:r>
        <w:rPr>
          <w:rFonts w:ascii="Times New Roman" w:cs="Times New Roman" w:eastAsia="Times New Roman" w:hAnsi="Times New Roman"/>
          <w:sz w:val="26"/>
          <w:szCs w:val="26"/>
        </w:rPr>
        <w:t xml:space="preserve">The directional behaviour of a Yagi–Uda antenna can be understood, at the level of principle, by considering the array of induced currents on the parasitic elements. Each parasitic element re-radiates a field whose amplitude and phase depend on the length of the element and on its spacing from the driven element. When the lengths and spacings are chosen correctly, the re-radiated fields from the directors add constructively in the forward direction and destructively in the backward direction; the field from the reflector adds constructively forward and partially cancels the back radiation. The net effect is a strongly directional pattern whose main lobe gain typically lies in the range of 7 to 16 dBi for practical designs with 3 to 15 elements [12]. The current distribution on each element, which is the fundamental quantity from which the pattern is computed, is shown for the simulated antenna in Chapter 3 of this thesis. Visualisation of the current distribution provides an intuitive confirmation of the operating principle and serves as a useful sanity check on the simulation setup.</w:t>
      </w:r>
    </w:p>
    <w:p>
      <w:pPr>
        <w:spacing w:after="60" w:before="240"/>
        <w:jc w:val="center"/>
      </w:pPr>
      <w:r>
        <w:rPr>
          <w:rFonts w:ascii="Times New Roman" w:cs="Times New Roman" w:eastAsia="Times New Roman" w:hAnsi="Times New Roman"/>
          <w:i/>
          <w:iCs/>
          <w:color w:val="888888"/>
          <w:sz w:val="24"/>
          <w:szCs w:val="24"/>
        </w:rPr>
        <w:t xml:space="preserve">[Figure 2.4 placeholder — see Description below]</w:t>
      </w:r>
    </w:p>
    <w:p>
      <w:pPr>
        <w:spacing w:after="240" w:before="0"/>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i/>
          <w:iCs/>
          <w:sz w:val="24"/>
          <w:szCs w:val="24"/>
        </w:rPr>
        <w:t xml:space="preserve">Schematic layout of a typical Yagi–Uda antenna with one reflector, one driven element, and several directors mounted on a common boom. The relative element lengths and spacings — typically decreasing director length and 0.15–0.3λ spacings — control the gain, beamwidth, and front-to-back ratio.</w:t>
      </w:r>
    </w:p>
    <w:p>
      <w:pPr>
        <w:spacing w:after="120" w:before="0" w:line="360"/>
        <w:ind w:firstLine="720"/>
        <w:jc w:val="both"/>
      </w:pPr>
      <w:r>
        <w:rPr>
          <w:rFonts w:ascii="Times New Roman" w:cs="Times New Roman" w:eastAsia="Times New Roman" w:hAnsi="Times New Roman"/>
          <w:sz w:val="26"/>
          <w:szCs w:val="26"/>
        </w:rPr>
        <w:t xml:space="preserve">Three design constraints govern the performance of any Yagi–Uda antenna in practice. First, the antenna has a finite operating bandwidth; the gain and the input impedance both degrade as the operating frequency moves away from the design centre. For a typical UHF television Yagi with ten or so elements, the usable bandwidth (defined by a voltage standing-wave ratio below 2:1 and a gain reduction not exceeding 3 dB) covers approximately the range 470 to 860 MHz, which conveniently brackets the 610 MHz frequency of interest in this thesis. Second, the antenna is sensitive to mechanical tolerances: element lengths and inter-element spacings must be controlled to a few percent of a wavelength to achieve the designed gain and pattern. At 610 MHz, a wavelength is approximately 491 mm, so a tolerance of 5 mm on element lengths represents one percent of a wavelength and is comfortably achievable with standard fabrication techniques. Third, the antenna is reciprocal and therefore its receive pattern is identical to its transmit pattern; this property is exploited throughout the simulation workflow of Chapter 3, in which the antenna is excited at the driven element as a transmitter and its computed transmit pattern is used as the primary beam in the receive pipeline of Chapter 4.</w:t>
      </w:r>
    </w:p>
    <w:sectPr>
      <w:pgSz w:w="11906" w:h="16838"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2026-05-28T03:04:50.085Z</dcterms:created>
  <dcterms:modified xsi:type="dcterms:W3CDTF">2026-05-28T03:04:50.112Z</dcterms:modified>
</cp:coreProperties>
</file>

<file path=docProps/custom.xml><?xml version="1.0" encoding="utf-8"?>
<Properties xmlns="http://schemas.openxmlformats.org/officeDocument/2006/custom-properties" xmlns:vt="http://schemas.openxmlformats.org/officeDocument/2006/docPropsVTypes"/>
</file>