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b/>
          <w:i w:val="0"/>
          <w:color w:val="3B4F9E"/>
          <w:sz w:val="19"/>
        </w:rPr>
        <w:t>TECHNICAL REPORT</w:t>
      </w:r>
    </w:p>
    <w:p>
      <w:pPr>
        <w:spacing w:after="280"/>
      </w:pPr>
      <w:r>
        <w:rPr>
          <w:rFonts w:ascii="Iowan Old Style" w:hAnsi="Iowan Old Style"/>
          <w:b/>
          <w:i w:val="0"/>
          <w:color w:val="1B1B19"/>
          <w:sz w:val="56"/>
        </w:rPr>
        <w:t>Tuning Simian Without Guessing</w:t>
      </w:r>
    </w:p>
    <w:p>
      <w:pPr>
        <w:spacing w:after="360"/>
      </w:pPr>
      <w:r>
        <w:rPr>
          <w:rFonts w:ascii="Iowan Old Style" w:hAnsi="Iowan Old Style"/>
          <w:b w:val="0"/>
          <w:i w:val="0"/>
          <w:color w:val="4A4A46"/>
          <w:sz w:val="26"/>
        </w:rPr>
        <w:t xml:space="preserve">A workflow for choosing </w:t>
      </w:r>
      <w:r>
        <w:rPr>
          <w:rFonts w:ascii="Consolas" w:hAnsi="Consolas"/>
          <w:b w:val="0"/>
          <w:i w:val="0"/>
          <w:color w:val="2A2A26"/>
          <w:sz w:val="26"/>
        </w:rPr>
        <w:t>-threshold</w:t>
      </w:r>
      <w:r>
        <w:rPr>
          <w:rFonts w:ascii="Iowan Old Style" w:hAnsi="Iowan Old Style"/>
          <w:b w:val="0"/>
          <w:i w:val="0"/>
          <w:color w:val="4A4A46"/>
          <w:sz w:val="26"/>
        </w:rPr>
        <w:t xml:space="preserve"> and the </w:t>
      </w:r>
      <w:r>
        <w:rPr>
          <w:rFonts w:ascii="Consolas" w:hAnsi="Consolas"/>
          <w:b w:val="0"/>
          <w:i w:val="0"/>
          <w:color w:val="2A2A26"/>
          <w:sz w:val="26"/>
        </w:rPr>
        <w:t>TokenVisitor</w:t>
      </w:r>
      <w:r>
        <w:rPr>
          <w:rFonts w:ascii="Iowan Old Style" w:hAnsi="Iowan Old Style"/>
          <w:b w:val="0"/>
          <w:i w:val="0"/>
          <w:color w:val="4A4A46"/>
          <w:sz w:val="26"/>
        </w:rPr>
        <w:t>-related options together: how the right starting point depends on the source you are scanning, and how to move toward a configuration that finds real duplication without manufacturing coincidences.</w:t>
      </w:r>
    </w:p>
    <w:p>
      <w:pPr>
        <w:spacing w:after="480"/>
      </w:pPr>
      <w:r>
        <w:rPr>
          <w:rFonts w:ascii="Calibri" w:hAnsi="Calibri"/>
          <w:b/>
          <w:i w:val="0"/>
          <w:color w:val="4A4A46"/>
          <w:sz w:val="17"/>
        </w:rPr>
        <w:t xml:space="preserve">Subject  </w:t>
      </w:r>
      <w:r>
        <w:rPr>
          <w:rFonts w:ascii="Calibri" w:hAnsi="Calibri"/>
          <w:b w:val="0"/>
          <w:i w:val="0"/>
          <w:color w:val="85837C"/>
          <w:sz w:val="17"/>
        </w:rPr>
        <w:t xml:space="preserve">Simian Similarity Analyzer v4.2.2     </w:t>
      </w:r>
      <w:r>
        <w:rPr>
          <w:rFonts w:ascii="Calibri" w:hAnsi="Calibri"/>
          <w:b/>
          <w:i w:val="0"/>
          <w:color w:val="4A4A46"/>
          <w:sz w:val="17"/>
        </w:rPr>
        <w:t xml:space="preserve">Grounded in  </w:t>
      </w:r>
      <w:r>
        <w:rPr>
          <w:rFonts w:ascii="Calibri" w:hAnsi="Calibri"/>
          <w:b w:val="0"/>
          <w:i w:val="0"/>
          <w:color w:val="85837C"/>
          <w:sz w:val="17"/>
        </w:rPr>
        <w:t xml:space="preserve">a real, reproducible worked example (Appendix A)     </w:t>
      </w:r>
      <w:r>
        <w:rPr>
          <w:rFonts w:ascii="Calibri" w:hAnsi="Calibri"/>
          <w:b/>
          <w:i w:val="0"/>
          <w:color w:val="4A4A46"/>
          <w:sz w:val="17"/>
        </w:rPr>
        <w:t xml:space="preserve">Companion to  </w:t>
      </w:r>
      <w:r>
        <w:rPr>
          <w:rFonts w:ascii="Calibri" w:hAnsi="Calibri"/>
          <w:b w:val="0"/>
          <w:i w:val="0"/>
          <w:color w:val="85837C"/>
          <w:sz w:val="17"/>
        </w:rPr>
        <w:t xml:space="preserve">How Simian Catches Duplicate Code and Inside the </w:t>
      </w:r>
      <w:r>
        <w:rPr>
          <w:rFonts w:ascii="Consolas" w:hAnsi="Consolas"/>
          <w:b w:val="0"/>
          <w:i w:val="0"/>
          <w:color w:val="2A2A26"/>
          <w:sz w:val="17"/>
        </w:rPr>
        <w:t>TokenVisitor</w:t>
      </w:r>
      <w:r>
        <w:rPr>
          <w:rFonts w:ascii="Calibri" w:hAnsi="Calibri"/>
          <w:b w:val="0"/>
          <w:i w:val="0"/>
          <w:color w:val="85837C"/>
          <w:sz w:val="17"/>
        </w:rPr>
        <w:t xml:space="preserve"> Chain     </w:t>
      </w:r>
    </w:p>
    <w:p>
      <w:pPr>
        <w:spacing w:before="120" w:after="280"/>
        <w:pBdr>
          <w:bottom w:val="single" w:sz="4" w:space="1" w:color="DDD9D0"/>
        </w:pBdr>
      </w:pPr>
    </w:p>
    <w:p>
      <w:pPr>
        <w:keepNext/>
        <w:spacing w:before="600" w:after="200"/>
        <w:pBdr>
          <w:bottom w:val="single" w:sz="4" w:space="4" w:color="DDD9D0"/>
        </w:pBdr>
      </w:pPr>
      <w:r>
        <w:rPr>
          <w:rFonts w:ascii="Consolas" w:hAnsi="Consolas"/>
          <w:b/>
          <w:i w:val="0"/>
          <w:color w:val="3B4F9E"/>
          <w:sz w:val="30"/>
        </w:rPr>
        <w:t xml:space="preserve">1   </w:t>
      </w:r>
      <w:r>
        <w:rPr>
          <w:rFonts w:ascii="Iowan Old Style" w:hAnsi="Iowan Old Style"/>
          <w:b/>
          <w:i w:val="0"/>
          <w:color w:val="1B1B19"/>
          <w:sz w:val="36"/>
        </w:rPr>
        <w:t>The trade-off, precisely</w:t>
      </w:r>
    </w:p>
    <w:p>
      <w:pPr>
        <w:spacing w:before="0" w:after="200"/>
      </w:pPr>
      <w:r>
        <w:rPr>
          <w:rFonts w:ascii="Iowan Old Style" w:hAnsi="Iowan Old Style"/>
          <w:b w:val="0"/>
          <w:i w:val="0"/>
          <w:color w:val="4A4A46"/>
          <w:sz w:val="22"/>
        </w:rPr>
        <w:t xml:space="preserve">Every fuzzy-matching option in Simian trades precision for recall, or the reverse, and </w:t>
      </w:r>
      <w:r>
        <w:rPr>
          <w:rFonts w:ascii="Consolas" w:hAnsi="Consolas"/>
          <w:b w:val="0"/>
          <w:i w:val="0"/>
          <w:color w:val="2A2A26"/>
          <w:sz w:val="22"/>
        </w:rPr>
        <w:t>-threshold</w:t>
      </w:r>
      <w:r>
        <w:rPr>
          <w:rFonts w:ascii="Iowan Old Style" w:hAnsi="Iowan Old Style"/>
          <w:b w:val="0"/>
          <w:i w:val="0"/>
          <w:color w:val="4A4A46"/>
          <w:sz w:val="22"/>
        </w:rPr>
        <w:t xml:space="preserve"> trades both against each other along a different axis. Loosen either lever and you will eventually catch a real duplicate that a stricter configuration missed, a true positive. Loosen either lever too far and you will start catching coincidences, structurally identical code that has nothing to do with duplication worth fixing, a false positive. There is no setting that maximizes both at once for every codebase; the right configuration is a property of the source you are scanning, not a property of Simian.</w:t>
      </w:r>
    </w:p>
    <w:p>
      <w:pPr>
        <w:spacing w:before="0" w:after="200"/>
      </w:pPr>
      <w:r>
        <w:rPr>
          <w:rFonts w:ascii="Iowan Old Style" w:hAnsi="Iowan Old Style"/>
          <w:b w:val="0"/>
          <w:i w:val="0"/>
          <w:color w:val="4A4A46"/>
          <w:sz w:val="22"/>
        </w:rPr>
        <w:t xml:space="preserve">This report is about the workflow for finding that configuration deliberately, verified against a real, reproducible example rather than asserted in the abstract. It assumes the mechanics from the two companion reports: how </w:t>
      </w:r>
      <w:r>
        <w:rPr>
          <w:rFonts w:ascii="Consolas" w:hAnsi="Consolas"/>
          <w:b w:val="0"/>
          <w:i w:val="0"/>
          <w:color w:val="2A2A26"/>
          <w:sz w:val="22"/>
        </w:rPr>
        <w:t>-threshold</w:t>
      </w:r>
      <w:r>
        <w:rPr>
          <w:rFonts w:ascii="Iowan Old Style" w:hAnsi="Iowan Old Style"/>
          <w:b w:val="0"/>
          <w:i w:val="0"/>
          <w:color w:val="4A4A46"/>
          <w:sz w:val="22"/>
        </w:rPr>
        <w:t xml:space="preserve"> sets a sliding-window size and how the </w:t>
      </w:r>
      <w:r>
        <w:rPr>
          <w:rFonts w:ascii="Consolas" w:hAnsi="Consolas"/>
          <w:b w:val="0"/>
          <w:i w:val="0"/>
          <w:color w:val="2A2A26"/>
          <w:sz w:val="22"/>
        </w:rPr>
        <w:t>TokenVisitor</w:t>
      </w:r>
      <w:r>
        <w:rPr>
          <w:rFonts w:ascii="Iowan Old Style" w:hAnsi="Iowan Old Style"/>
          <w:b w:val="0"/>
          <w:i w:val="0"/>
          <w:color w:val="4A4A46"/>
          <w:sz w:val="22"/>
        </w:rPr>
        <w:t xml:space="preserve"> chain canonicalizes each line before it is hashed. What follows is about combining those mechanics on purpose.</w:t>
      </w:r>
    </w:p>
    <w:p>
      <w:pPr>
        <w:keepNext/>
        <w:spacing w:before="600" w:after="200"/>
        <w:pBdr>
          <w:bottom w:val="single" w:sz="4" w:space="4" w:color="DDD9D0"/>
        </w:pBdr>
      </w:pPr>
      <w:r>
        <w:rPr>
          <w:rFonts w:ascii="Consolas" w:hAnsi="Consolas"/>
          <w:b/>
          <w:i w:val="0"/>
          <w:color w:val="3B4F9E"/>
          <w:sz w:val="30"/>
        </w:rPr>
        <w:t xml:space="preserve">2   </w:t>
      </w:r>
      <w:r>
        <w:rPr>
          <w:rFonts w:ascii="Iowan Old Style" w:hAnsi="Iowan Old Style"/>
          <w:b/>
          <w:i w:val="0"/>
          <w:color w:val="1B1B19"/>
          <w:sz w:val="36"/>
        </w:rPr>
        <w:t>Two knobs, not one dial</w:t>
      </w:r>
    </w:p>
    <w:p>
      <w:pPr>
        <w:spacing w:before="0" w:after="200"/>
      </w:pPr>
      <w:r>
        <w:rPr>
          <w:rFonts w:ascii="Iowan Old Style" w:hAnsi="Iowan Old Style"/>
          <w:b w:val="0"/>
          <w:i w:val="0"/>
          <w:color w:val="4A4A46"/>
          <w:sz w:val="22"/>
        </w:rPr>
        <w:t>It helps to keep the two levers conceptually separate, because they fail in different ways.</w:t>
      </w:r>
    </w:p>
    <w:p>
      <w:pPr>
        <w:pStyle w:val="ListBullet"/>
        <w:spacing w:after="120"/>
        <w:ind w:left="403"/>
      </w:pPr>
      <w:r>
        <w:rPr>
          <w:rFonts w:ascii="Iowan Old Style" w:hAnsi="Iowan Old Style"/>
          <w:b/>
          <w:i w:val="0"/>
          <w:color w:val="1B1B19"/>
          <w:sz w:val="22"/>
        </w:rPr>
        <w:t>Threshold</w:t>
      </w:r>
      <w:r>
        <w:rPr>
          <w:rFonts w:ascii="Iowan Old Style" w:hAnsi="Iowan Old Style"/>
          <w:b w:val="0"/>
          <w:i w:val="0"/>
          <w:color w:val="4A4A46"/>
          <w:sz w:val="22"/>
        </w:rPr>
        <w:t xml:space="preserve"> answers "how many consecutive matching lines count as a duplicate worth reporting." It is completely blind to why two blocks matched. Raising it filters out short coincidences regardless of their cause; lowering it admits shorter coincidences regardless of their cause. It is a blunt, content-agnostic backstop.</w:t>
      </w:r>
    </w:p>
    <w:p>
      <w:pPr>
        <w:pStyle w:val="ListBullet"/>
        <w:spacing w:after="120"/>
        <w:ind w:left="403"/>
      </w:pPr>
      <w:r>
        <w:rPr>
          <w:rFonts w:ascii="Consolas" w:hAnsi="Consolas"/>
          <w:b/>
          <w:i w:val="0"/>
          <w:color w:val="2A2A26"/>
          <w:sz w:val="22"/>
        </w:rPr>
        <w:t>TokenVisitor</w:t>
      </w:r>
      <w:r>
        <w:rPr>
          <w:rFonts w:ascii="Iowan Old Style" w:hAnsi="Iowan Old Style"/>
          <w:b/>
          <w:i w:val="0"/>
          <w:color w:val="1B1B19"/>
          <w:sz w:val="22"/>
        </w:rPr>
        <w:t xml:space="preserve"> options</w:t>
      </w:r>
      <w:r>
        <w:rPr>
          <w:rFonts w:ascii="Iowan Old Style" w:hAnsi="Iowan Old Style"/>
          <w:b w:val="0"/>
          <w:i w:val="0"/>
          <w:color w:val="4A4A46"/>
          <w:sz w:val="22"/>
        </w:rPr>
        <w:t xml:space="preserve"> (</w:t>
      </w:r>
      <w:r>
        <w:rPr>
          <w:rFonts w:ascii="Consolas" w:hAnsi="Consolas"/>
          <w:b w:val="0"/>
          <w:i w:val="0"/>
          <w:color w:val="2A2A26"/>
          <w:sz w:val="22"/>
        </w:rPr>
        <w:t>-ignoreVariableNames</w:t>
      </w:r>
      <w:r>
        <w:rPr>
          <w:rFonts w:ascii="Iowan Old Style" w:hAnsi="Iowan Old Style"/>
          <w:b w:val="0"/>
          <w:i w:val="0"/>
          <w:color w:val="4A4A46"/>
          <w:sz w:val="22"/>
        </w:rPr>
        <w:t xml:space="preserve">, </w:t>
      </w:r>
      <w:r>
        <w:rPr>
          <w:rFonts w:ascii="Consolas" w:hAnsi="Consolas"/>
          <w:b w:val="0"/>
          <w:i w:val="0"/>
          <w:color w:val="2A2A26"/>
          <w:sz w:val="22"/>
        </w:rPr>
        <w:t>-ignoreTypeAnnotations</w:t>
      </w:r>
      <w:r>
        <w:rPr>
          <w:rFonts w:ascii="Iowan Old Style" w:hAnsi="Iowan Old Style"/>
          <w:b w:val="0"/>
          <w:i w:val="0"/>
          <w:color w:val="4A4A46"/>
          <w:sz w:val="22"/>
        </w:rPr>
        <w:t xml:space="preserve">, </w:t>
      </w:r>
      <w:r>
        <w:rPr>
          <w:rFonts w:ascii="Consolas" w:hAnsi="Consolas"/>
          <w:b w:val="0"/>
          <w:i w:val="0"/>
          <w:color w:val="2A2A26"/>
          <w:sz w:val="22"/>
        </w:rPr>
        <w:t>-ignoreIdentifiers</w:t>
      </w:r>
      <w:r>
        <w:rPr>
          <w:rFonts w:ascii="Iowan Old Style" w:hAnsi="Iowan Old Style"/>
          <w:b w:val="0"/>
          <w:i w:val="0"/>
          <w:color w:val="4A4A46"/>
          <w:sz w:val="22"/>
        </w:rPr>
        <w:t>, and the rest of the catalog) answer "what counts as the same line." Each one erases a specific kind of cosmetic difference. They are precise about what they erase, but blind to where: an option that correctly reveals a duplicated algorithm will just as happily reveal a coincidentally identical getter, if both happen to canonicalize to the same text.</w:t>
      </w:r>
    </w:p>
    <w:p>
      <w:pPr>
        <w:spacing w:before="0" w:after="200"/>
      </w:pPr>
      <w:r>
        <w:rPr>
          <w:rFonts w:ascii="Iowan Old Style" w:hAnsi="Iowan Old Style"/>
          <w:b w:val="0"/>
          <w:i w:val="0"/>
          <w:color w:val="4A4A46"/>
          <w:sz w:val="22"/>
        </w:rPr>
        <w:t>Section 6 plots six real runs of the same file on both axes at once. The short version: threshold alone cannot fix a false positive caused by an over-broad option, and no option choice can fix a false negative caused by too high a threshold. Both levers have to move.</w:t>
      </w:r>
    </w:p>
    <w:p>
      <w:pPr>
        <w:keepNext/>
        <w:spacing w:before="600" w:after="200"/>
        <w:pBdr>
          <w:bottom w:val="single" w:sz="4" w:space="4" w:color="DDD9D0"/>
        </w:pBdr>
      </w:pPr>
      <w:r>
        <w:rPr>
          <w:rFonts w:ascii="Consolas" w:hAnsi="Consolas"/>
          <w:b/>
          <w:i w:val="0"/>
          <w:color w:val="3B4F9E"/>
          <w:sz w:val="30"/>
        </w:rPr>
        <w:t xml:space="preserve">3   </w:t>
      </w:r>
      <w:r>
        <w:rPr>
          <w:rFonts w:ascii="Iowan Old Style" w:hAnsi="Iowan Old Style"/>
          <w:b/>
          <w:i w:val="0"/>
          <w:color w:val="1B1B19"/>
          <w:sz w:val="36"/>
        </w:rPr>
        <w:t>Why the source dictates the start</w:t>
      </w:r>
    </w:p>
    <w:p>
      <w:pPr>
        <w:spacing w:before="0" w:after="200"/>
      </w:pPr>
      <w:r>
        <w:rPr>
          <w:rFonts w:ascii="Iowan Old Style" w:hAnsi="Iowan Old Style"/>
          <w:b w:val="0"/>
          <w:i w:val="0"/>
          <w:color w:val="4A4A46"/>
          <w:sz w:val="22"/>
        </w:rPr>
        <w:t xml:space="preserve">The two companion reports already establish that different languages need different </w:t>
      </w:r>
      <w:r>
        <w:rPr>
          <w:rFonts w:ascii="Consolas" w:hAnsi="Consolas"/>
          <w:b w:val="0"/>
          <w:i w:val="0"/>
          <w:color w:val="2A2A26"/>
          <w:sz w:val="22"/>
        </w:rPr>
        <w:t>TokenVisitor</w:t>
      </w:r>
      <w:r>
        <w:rPr>
          <w:rFonts w:ascii="Iowan Old Style" w:hAnsi="Iowan Old Style"/>
          <w:b w:val="0"/>
          <w:i w:val="0"/>
          <w:color w:val="4A4A46"/>
          <w:sz w:val="22"/>
        </w:rPr>
        <w:t xml:space="preserve"> wiring. The same is true, more broadly, of different kinds of source within one language, and it is worth naming the patterns before touching a single option:</w:t>
      </w:r>
    </w:p>
    <w:p>
      <w:pPr>
        <w:pStyle w:val="ListBullet"/>
        <w:spacing w:after="120"/>
        <w:ind w:left="403"/>
      </w:pPr>
      <w:r>
        <w:rPr>
          <w:rFonts w:ascii="Iowan Old Style" w:hAnsi="Iowan Old Style"/>
          <w:b/>
          <w:i w:val="0"/>
          <w:color w:val="1B1B19"/>
          <w:sz w:val="22"/>
        </w:rPr>
        <w:t>Boilerplate-heavy OOP code</w:t>
      </w:r>
      <w:r>
        <w:rPr>
          <w:rFonts w:ascii="Iowan Old Style" w:hAnsi="Iowan Old Style"/>
          <w:b w:val="0"/>
          <w:i w:val="0"/>
          <w:color w:val="4A4A46"/>
          <w:sz w:val="22"/>
        </w:rPr>
        <w:t xml:space="preserve"> (getters, setters, constructors, equals/hashCode) produces many short blocks that are structurally identical by convention, not by copy-paste. This is exactly the shape of false positive that aggressive identifier-erasure options manufacture, demonstrated concretely in section 6.</w:t>
      </w:r>
    </w:p>
    <w:p>
      <w:pPr>
        <w:pStyle w:val="ListBullet"/>
        <w:spacing w:after="120"/>
        <w:ind w:left="403"/>
      </w:pPr>
      <w:r>
        <w:rPr>
          <w:rFonts w:ascii="Iowan Old Style" w:hAnsi="Iowan Old Style"/>
          <w:b/>
          <w:i w:val="0"/>
          <w:color w:val="1B1B19"/>
          <w:sz w:val="22"/>
        </w:rPr>
        <w:t>Generated or templated code</w:t>
      </w:r>
      <w:r>
        <w:rPr>
          <w:rFonts w:ascii="Iowan Old Style" w:hAnsi="Iowan Old Style"/>
          <w:b w:val="0"/>
          <w:i w:val="0"/>
          <w:color w:val="4A4A46"/>
          <w:sz w:val="22"/>
        </w:rPr>
        <w:t xml:space="preserve"> (protobuf output, ORM-generated accessors, scaffolded test fixtures) is often deliberately repetitive. Simian will find the repetition accurately; the judgment call is whether that repetition is actionable. Excluding generated directories outright (section 4) is usually more honest than tuning options to hide them.</w:t>
      </w:r>
    </w:p>
    <w:p>
      <w:pPr>
        <w:pStyle w:val="ListBullet"/>
        <w:spacing w:after="120"/>
        <w:ind w:left="403"/>
      </w:pPr>
      <w:r>
        <w:rPr>
          <w:rFonts w:ascii="Iowan Old Style" w:hAnsi="Iowan Old Style"/>
          <w:b/>
          <w:i w:val="0"/>
          <w:color w:val="1B1B19"/>
          <w:sz w:val="22"/>
        </w:rPr>
        <w:t>Test suites</w:t>
      </w:r>
      <w:r>
        <w:rPr>
          <w:rFonts w:ascii="Iowan Old Style" w:hAnsi="Iowan Old Style"/>
          <w:b w:val="0"/>
          <w:i w:val="0"/>
          <w:color w:val="4A4A46"/>
          <w:sz w:val="22"/>
        </w:rPr>
        <w:t xml:space="preserve"> frequently repeat a setup/assert shape across many cases on purpose (that is what a table-driven test is). A threshold tuned for production code will over-report here; a separate, higher threshold or a narrower option set for test directories is often warranted.</w:t>
      </w:r>
    </w:p>
    <w:p>
      <w:pPr>
        <w:pStyle w:val="ListBullet"/>
        <w:spacing w:after="120"/>
        <w:ind w:left="403"/>
      </w:pPr>
      <w:r>
        <w:rPr>
          <w:rFonts w:ascii="Iowan Old Style" w:hAnsi="Iowan Old Style"/>
          <w:b/>
          <w:i w:val="0"/>
          <w:color w:val="1B1B19"/>
          <w:sz w:val="22"/>
        </w:rPr>
        <w:t>Type-annotation-heavy TypeScript</w:t>
      </w:r>
      <w:r>
        <w:rPr>
          <w:rFonts w:ascii="Iowan Old Style" w:hAnsi="Iowan Old Style"/>
          <w:b w:val="0"/>
          <w:i w:val="0"/>
          <w:color w:val="4A4A46"/>
          <w:sz w:val="22"/>
        </w:rPr>
        <w:t xml:space="preserve"> and </w:t>
      </w:r>
      <w:r>
        <w:rPr>
          <w:rFonts w:ascii="Iowan Old Style" w:hAnsi="Iowan Old Style"/>
          <w:b/>
          <w:i w:val="0"/>
          <w:color w:val="1B1B19"/>
          <w:sz w:val="22"/>
        </w:rPr>
        <w:t>generic-heavy Java</w:t>
      </w:r>
      <w:r>
        <w:rPr>
          <w:rFonts w:ascii="Iowan Old Style" w:hAnsi="Iowan Old Style"/>
          <w:b w:val="0"/>
          <w:i w:val="0"/>
          <w:color w:val="4A4A46"/>
          <w:sz w:val="22"/>
        </w:rPr>
        <w:t xml:space="preserve"> hide real duplication behind cosmetic type differences, the exact case </w:t>
      </w:r>
      <w:r>
        <w:rPr>
          <w:rFonts w:ascii="Consolas" w:hAnsi="Consolas"/>
          <w:b w:val="0"/>
          <w:i w:val="0"/>
          <w:color w:val="2A2A26"/>
          <w:sz w:val="22"/>
        </w:rPr>
        <w:t>-ignoreTypeAnnotations</w:t>
      </w:r>
      <w:r>
        <w:rPr>
          <w:rFonts w:ascii="Iowan Old Style" w:hAnsi="Iowan Old Style"/>
          <w:b w:val="0"/>
          <w:i w:val="0"/>
          <w:color w:val="4A4A46"/>
          <w:sz w:val="22"/>
        </w:rPr>
        <w:t xml:space="preserve"> and </w:t>
      </w:r>
      <w:r>
        <w:rPr>
          <w:rFonts w:ascii="Consolas" w:hAnsi="Consolas"/>
          <w:b w:val="0"/>
          <w:i w:val="0"/>
          <w:color w:val="2A2A26"/>
          <w:sz w:val="22"/>
        </w:rPr>
        <w:t>-ignoreSubtypeNames</w:t>
      </w:r>
      <w:r>
        <w:rPr>
          <w:rFonts w:ascii="Iowan Old Style" w:hAnsi="Iowan Old Style"/>
          <w:b w:val="0"/>
          <w:i w:val="0"/>
          <w:color w:val="4A4A46"/>
          <w:sz w:val="22"/>
        </w:rPr>
        <w:t xml:space="preserve"> exist for (see the TypeScript chapter of the companion algorithm report).</w:t>
      </w:r>
    </w:p>
    <w:p>
      <w:pPr>
        <w:pStyle w:val="ListBullet"/>
        <w:spacing w:after="120"/>
        <w:ind w:left="403"/>
      </w:pPr>
      <w:r>
        <w:rPr>
          <w:rFonts w:ascii="Iowan Old Style" w:hAnsi="Iowan Old Style"/>
          <w:b/>
          <w:i w:val="0"/>
          <w:color w:val="1B1B19"/>
          <w:sz w:val="22"/>
        </w:rPr>
        <w:t>Indentation-only languages</w:t>
      </w:r>
      <w:r>
        <w:rPr>
          <w:rFonts w:ascii="Iowan Old Style" w:hAnsi="Iowan Old Style"/>
          <w:b w:val="0"/>
          <w:i w:val="0"/>
          <w:color w:val="4A4A46"/>
          <w:sz w:val="22"/>
        </w:rPr>
        <w:t xml:space="preserve"> (Python) do not need a different threshold in principle, since Simian counts significant lines rather than indentation levels, but short, deeply nested helper functions common in Python can still sit right at the threshold boundary and deserve a second look when they first appear in a report.</w:t>
      </w:r>
    </w:p>
    <w:p>
      <w:pPr>
        <w:spacing w:before="0" w:after="200"/>
      </w:pPr>
      <w:r>
        <w:rPr>
          <w:rFonts w:ascii="Iowan Old Style" w:hAnsi="Iowan Old Style"/>
          <w:b w:val="0"/>
          <w:i w:val="0"/>
          <w:color w:val="4A4A46"/>
          <w:sz w:val="22"/>
        </w:rPr>
        <w:t>None of this changes the mechanism. It changes where you should expect to start on the two axes from section 2, and what kind of false positive to watch for first.</w:t>
      </w:r>
    </w:p>
    <w:p>
      <w:pPr>
        <w:keepNext/>
        <w:spacing w:before="600" w:after="200"/>
        <w:pBdr>
          <w:bottom w:val="single" w:sz="4" w:space="4" w:color="DDD9D0"/>
        </w:pBdr>
      </w:pPr>
      <w:r>
        <w:rPr>
          <w:rFonts w:ascii="Consolas" w:hAnsi="Consolas"/>
          <w:b/>
          <w:i w:val="0"/>
          <w:color w:val="3B4F9E"/>
          <w:sz w:val="30"/>
        </w:rPr>
        <w:t xml:space="preserve">4   </w:t>
      </w:r>
      <w:r>
        <w:rPr>
          <w:rFonts w:ascii="Iowan Old Style" w:hAnsi="Iowan Old Style"/>
          <w:b/>
          <w:i w:val="0"/>
          <w:color w:val="1B1B19"/>
          <w:sz w:val="36"/>
        </w:rPr>
        <w:t>Step zero: exclude before you tune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928"/>
      </w:tblGrid>
      <w:tr>
        <w:trPr>
          <w:cantSplit/>
        </w:trPr>
        <w:tc>
          <w:tcPr>
            <w:tcW w:type="dxa" w:w="8928"/>
            <w:shd w:val="clear" w:color="auto" w:fill="F4E6D2"/>
            <w:tcMar>
              <w:top w:w="140" w:type="dxa"/>
              <w:bottom w:w="140" w:type="dxa"/>
              <w:left w:w="220" w:type="dxa"/>
              <w:right w:w="220" w:type="dxa"/>
            </w:tcMar>
            <w:tcBorders>
              <w:left w:val="single" w:sz="24" w:space="0" w:color="9A5B18"/>
            </w:tcBorders>
          </w:tcPr>
          <w:p>
            <w:pPr>
              <w:spacing w:after="80"/>
            </w:pPr>
            <w:r>
              <w:rPr>
                <w:rFonts w:ascii="Calibri" w:hAnsi="Calibri"/>
                <w:b/>
                <w:i w:val="0"/>
                <w:color w:val="9A5B18"/>
                <w:sz w:val="17"/>
              </w:rPr>
              <w:t>THE MOST COMMON TUNING MISTAKE</w:t>
            </w:r>
          </w:p>
          <w:p>
            <w:pPr>
              <w:spacing w:after="0"/>
            </w:pPr>
            <w:r>
              <w:rPr>
                <w:rFonts w:ascii="Iowan Old Style" w:hAnsi="Iowan Old Style"/>
                <w:b w:val="0"/>
                <w:i w:val="0"/>
                <w:color w:val="1B1B19"/>
                <w:sz w:val="21"/>
              </w:rPr>
              <w:t xml:space="preserve">No combination of </w:t>
            </w:r>
            <w:r>
              <w:rPr>
                <w:rFonts w:ascii="Consolas" w:hAnsi="Consolas"/>
                <w:b w:val="0"/>
                <w:i w:val="0"/>
                <w:color w:val="2A2A26"/>
                <w:sz w:val="21"/>
              </w:rPr>
              <w:t>-threshold</w:t>
            </w:r>
            <w:r>
              <w:rPr>
                <w:rFonts w:ascii="Iowan Old Style" w:hAnsi="Iowan Old Style"/>
                <w:b w:val="0"/>
                <w:i w:val="0"/>
                <w:color w:val="1B1B19"/>
                <w:sz w:val="21"/>
              </w:rPr>
              <w:t xml:space="preserve"> and </w:t>
            </w:r>
            <w:r>
              <w:rPr>
                <w:rFonts w:ascii="Consolas" w:hAnsi="Consolas"/>
                <w:b w:val="0"/>
                <w:i w:val="0"/>
                <w:color w:val="2A2A26"/>
                <w:sz w:val="21"/>
              </w:rPr>
              <w:t>TokenVisitor</w:t>
            </w:r>
            <w:r>
              <w:rPr>
                <w:rFonts w:ascii="Iowan Old Style" w:hAnsi="Iowan Old Style"/>
                <w:b w:val="0"/>
                <w:i w:val="0"/>
                <w:color w:val="1B1B19"/>
                <w:sz w:val="21"/>
              </w:rPr>
              <w:t xml:space="preserve"> options can fix "we found duplication inside a vendored copy of a library" or "we found duplication between generated files and the template that generated them." That is a file-selection problem, not a fuzzy-matching problem. Narrow the input with -includes/-excludes, or wrap known-noisy regions in </w:t>
            </w:r>
            <w:r>
              <w:rPr>
                <w:rFonts w:ascii="Consolas" w:hAnsi="Consolas"/>
                <w:b w:val="0"/>
                <w:i w:val="0"/>
                <w:color w:val="2A2A26"/>
                <w:sz w:val="21"/>
              </w:rPr>
              <w:t>-ignoreBlocks</w:t>
            </w:r>
            <w:r>
              <w:rPr>
                <w:rFonts w:ascii="Iowan Old Style" w:hAnsi="Iowan Old Style"/>
                <w:b w:val="0"/>
                <w:i w:val="0"/>
                <w:color w:val="1B1B19"/>
                <w:sz w:val="21"/>
              </w:rPr>
              <w:t>, before spending any effort on the options in this report. Tuning options against untrimmed input just makes the real signal harder to see underneath the noise.</w:t>
            </w:r>
          </w:p>
        </w:tc>
      </w:tr>
    </w:tbl>
    <w:p>
      <w:pPr>
        <w:spacing w:after="80"/>
      </w:pPr>
    </w:p>
    <w:p>
      <w:pPr>
        <w:spacing w:before="0" w:after="200"/>
      </w:pPr>
      <w:r>
        <w:rPr>
          <w:rFonts w:ascii="Iowan Old Style" w:hAnsi="Iowan Old Style"/>
          <w:b w:val="0"/>
          <w:i w:val="0"/>
          <w:color w:val="4A4A46"/>
          <w:sz w:val="22"/>
        </w:rPr>
        <w:t>Once the input set is a codebase's own hand-written source, the remaining tuning question is entirely about the two knobs from section 2.</w:t>
      </w:r>
    </w:p>
    <w:p>
      <w:pPr>
        <w:keepNext/>
        <w:spacing w:before="600" w:after="200"/>
        <w:pBdr>
          <w:bottom w:val="single" w:sz="4" w:space="4" w:color="DDD9D0"/>
        </w:pBdr>
      </w:pPr>
      <w:r>
        <w:rPr>
          <w:rFonts w:ascii="Consolas" w:hAnsi="Consolas"/>
          <w:b/>
          <w:i w:val="0"/>
          <w:color w:val="3B4F9E"/>
          <w:sz w:val="30"/>
        </w:rPr>
        <w:t xml:space="preserve">5   </w:t>
      </w:r>
      <w:r>
        <w:rPr>
          <w:rFonts w:ascii="Iowan Old Style" w:hAnsi="Iowan Old Style"/>
          <w:b/>
          <w:i w:val="0"/>
          <w:color w:val="1B1B19"/>
          <w:sz w:val="36"/>
        </w:rPr>
        <w:t>The tuning workflow</w:t>
      </w:r>
    </w:p>
    <w:p>
      <w:pPr>
        <w:spacing w:before="0" w:after="200"/>
      </w:pPr>
      <w:r>
        <w:rPr>
          <w:rFonts w:ascii="Iowan Old Style" w:hAnsi="Iowan Old Style"/>
          <w:b w:val="0"/>
          <w:i w:val="0"/>
          <w:color w:val="4A4A46"/>
          <w:sz w:val="22"/>
        </w:rPr>
        <w:t>The workflow below is deliberately a loop with small, single-variable steps rather than a search for the right settings in one attempt. Changing one lever at a time is what makes each new match, or each match that disappears, attributable to a specific decision; changing several things at once produces a result you cannot explain.</w:t>
      </w:r>
    </w:p>
    <w:p>
      <w:pPr>
        <w:pStyle w:val="ListBullet"/>
        <w:spacing w:after="120"/>
        <w:ind w:left="403"/>
      </w:pPr>
      <w:r>
        <w:rPr>
          <w:rFonts w:ascii="Iowan Old Style" w:hAnsi="Iowan Old Style"/>
          <w:b/>
          <w:i w:val="0"/>
          <w:color w:val="1B1B19"/>
          <w:sz w:val="22"/>
        </w:rPr>
        <w:t>Run with the defaults</w:t>
      </w:r>
      <w:r>
        <w:rPr>
          <w:rFonts w:ascii="Iowan Old Style" w:hAnsi="Iowan Old Style"/>
          <w:b w:val="0"/>
          <w:i w:val="0"/>
          <w:color w:val="4A4A46"/>
          <w:sz w:val="22"/>
        </w:rPr>
        <w:t xml:space="preserve"> (or, for a first pass, whatever threshold roughly matches your team's idea of "a meaningful block," commonly 6 to 10 lines). Do not enable any fuzzy-matching options yet.</w:t>
      </w:r>
    </w:p>
    <w:p>
      <w:pPr>
        <w:pStyle w:val="ListBullet"/>
        <w:spacing w:after="120"/>
        <w:ind w:left="403"/>
      </w:pPr>
      <w:r>
        <w:rPr>
          <w:rFonts w:ascii="Iowan Old Style" w:hAnsi="Iowan Old Style"/>
          <w:b/>
          <w:i w:val="0"/>
          <w:color w:val="1B1B19"/>
          <w:sz w:val="22"/>
        </w:rPr>
        <w:t>Read the matches, not just the count.</w:t>
      </w:r>
      <w:r>
        <w:rPr>
          <w:rFonts w:ascii="Iowan Old Style" w:hAnsi="Iowan Old Style"/>
          <w:b w:val="0"/>
          <w:i w:val="0"/>
          <w:color w:val="4A4A46"/>
          <w:sz w:val="22"/>
        </w:rPr>
        <w:t xml:space="preserve"> </w:t>
      </w:r>
      <w:r>
        <w:rPr>
          <w:rFonts w:ascii="Consolas" w:hAnsi="Consolas"/>
          <w:b w:val="0"/>
          <w:i w:val="0"/>
          <w:color w:val="2A2A26"/>
          <w:sz w:val="22"/>
        </w:rPr>
        <w:t>-reportDuplicateText</w:t>
      </w:r>
      <w:r>
        <w:rPr>
          <w:rFonts w:ascii="Iowan Old Style" w:hAnsi="Iowan Old Style"/>
          <w:b w:val="0"/>
          <w:i w:val="0"/>
          <w:color w:val="4A4A46"/>
          <w:sz w:val="22"/>
        </w:rPr>
        <w:t xml:space="preserve"> is not optional at this stage: a count with no text tells you nothing about whether a match is real duplication or a coincidence.</w:t>
      </w:r>
    </w:p>
    <w:p>
      <w:pPr>
        <w:pStyle w:val="ListBullet"/>
        <w:spacing w:after="120"/>
        <w:ind w:left="403"/>
      </w:pPr>
      <w:r>
        <w:rPr>
          <w:rFonts w:ascii="Iowan Old Style" w:hAnsi="Iowan Old Style"/>
          <w:b/>
          <w:i w:val="0"/>
          <w:color w:val="1B1B19"/>
          <w:sz w:val="22"/>
        </w:rPr>
        <w:t>Classify what you see</w:t>
      </w:r>
      <w:r>
        <w:rPr>
          <w:rFonts w:ascii="Iowan Old Style" w:hAnsi="Iowan Old Style"/>
          <w:b w:val="0"/>
          <w:i w:val="0"/>
          <w:color w:val="4A4A46"/>
          <w:sz w:val="22"/>
        </w:rPr>
        <w:t xml:space="preserve"> against three outcomes: nothing found (suspicious if you already know of duplicated code), matches that are all clearly real, or matches that include something you would not have flagged yourself.</w:t>
      </w:r>
    </w:p>
    <w:p>
      <w:pPr>
        <w:pStyle w:val="ListBullet"/>
        <w:spacing w:after="120"/>
        <w:ind w:left="403"/>
      </w:pPr>
      <w:r>
        <w:rPr>
          <w:rFonts w:ascii="Iowan Old Style" w:hAnsi="Iowan Old Style"/>
          <w:b/>
          <w:i w:val="0"/>
          <w:color w:val="1B1B19"/>
          <w:sz w:val="22"/>
        </w:rPr>
        <w:t>If real duplication is being missed</w:t>
      </w:r>
      <w:r>
        <w:rPr>
          <w:rFonts w:ascii="Iowan Old Style" w:hAnsi="Iowan Old Style"/>
          <w:b w:val="0"/>
          <w:i w:val="0"/>
          <w:color w:val="4A4A46"/>
          <w:sz w:val="22"/>
        </w:rPr>
        <w:t>, loosen exactly one lever: either the single narrowest option that would erase the specific cosmetic difference you can see in the source (section 7), or the threshold, by a small amount. Re-run.</w:t>
      </w:r>
    </w:p>
    <w:p>
      <w:pPr>
        <w:pStyle w:val="ListBullet"/>
        <w:spacing w:after="120"/>
        <w:ind w:left="403"/>
      </w:pPr>
      <w:r>
        <w:rPr>
          <w:rFonts w:ascii="Iowan Old Style" w:hAnsi="Iowan Old Style"/>
          <w:b/>
          <w:i w:val="0"/>
          <w:color w:val="1B1B19"/>
          <w:sz w:val="22"/>
        </w:rPr>
        <w:t>If a match looks like a coincidence</w:t>
      </w:r>
      <w:r>
        <w:rPr>
          <w:rFonts w:ascii="Iowan Old Style" w:hAnsi="Iowan Old Style"/>
          <w:b w:val="0"/>
          <w:i w:val="0"/>
          <w:color w:val="4A4A46"/>
          <w:sz w:val="22"/>
        </w:rPr>
        <w:t>, tighten exactly one lever: swap a broad option for a narrower one that still catches your real case (section 7), or raise the threshold, or exclude the specific file or block. Re-run.</w:t>
      </w:r>
    </w:p>
    <w:p>
      <w:pPr>
        <w:pStyle w:val="ListBullet"/>
        <w:spacing w:after="120"/>
        <w:ind w:left="403"/>
      </w:pPr>
      <w:r>
        <w:rPr>
          <w:rFonts w:ascii="Iowan Old Style" w:hAnsi="Iowan Old Style"/>
          <w:b/>
          <w:i w:val="0"/>
          <w:color w:val="1B1B19"/>
          <w:sz w:val="22"/>
        </w:rPr>
        <w:t>Repeat</w:t>
      </w:r>
      <w:r>
        <w:rPr>
          <w:rFonts w:ascii="Iowan Old Style" w:hAnsi="Iowan Old Style"/>
          <w:b w:val="0"/>
          <w:i w:val="0"/>
          <w:color w:val="4A4A46"/>
          <w:sz w:val="22"/>
        </w:rPr>
        <w:t xml:space="preserve"> until a pass produces no new surprises, neither obviously-missing duplication nor obviously-wrong matches.</w:t>
      </w:r>
    </w:p>
    <w:p>
      <w:pPr>
        <w:pStyle w:val="ListBullet"/>
        <w:spacing w:after="120"/>
        <w:ind w:left="403"/>
      </w:pPr>
      <w:r>
        <w:rPr>
          <w:rFonts w:ascii="Iowan Old Style" w:hAnsi="Iowan Old Style"/>
          <w:b/>
          <w:i w:val="0"/>
          <w:color w:val="1B1B19"/>
          <w:sz w:val="22"/>
        </w:rPr>
        <w:t>Validate before trusting the result</w:t>
      </w:r>
      <w:r>
        <w:rPr>
          <w:rFonts w:ascii="Iowan Old Style" w:hAnsi="Iowan Old Style"/>
          <w:b w:val="0"/>
          <w:i w:val="0"/>
          <w:color w:val="4A4A46"/>
          <w:sz w:val="22"/>
        </w:rPr>
        <w:t xml:space="preserve"> (section 9), then record the configuration next to the codebase it was tuned for, since section 3 means it will not transfer unchanged to a different one.</w:t>
      </w:r>
    </w:p>
    <w:p>
      <w:pPr>
        <w:jc w:val="center"/>
      </w:pPr>
      <w:r>
        <w:drawing>
          <wp:inline xmlns:a="http://schemas.openxmlformats.org/drawingml/2006/main" xmlns:pic="http://schemas.openxmlformats.org/drawingml/2006/picture">
            <wp:extent cx="4937760" cy="3378467"/>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4937760" cy="3378467"/>
                    </a:xfrm>
                    <a:prstGeom prst="rect"/>
                  </pic:spPr>
                </pic:pic>
              </a:graphicData>
            </a:graphic>
          </wp:inline>
        </w:drawing>
      </w:r>
    </w:p>
    <w:p>
      <w:pPr>
        <w:spacing w:before="80" w:after="280"/>
      </w:pPr>
      <w:r>
        <w:rPr>
          <w:rFonts w:ascii="Calibri" w:hAnsi="Calibri"/>
          <w:b w:val="0"/>
          <w:i/>
          <w:color w:val="85837C"/>
          <w:sz w:val="17"/>
        </w:rPr>
        <w:t>Figure 1. One change per lap. Both failure branches feed back into the same run box, so the next inspection is judging exactly one new decision, not several at once.</w:t>
      </w:r>
    </w:p>
    <w:p>
      <w:pPr>
        <w:keepNext/>
        <w:spacing w:before="600" w:after="200"/>
        <w:pBdr>
          <w:bottom w:val="single" w:sz="4" w:space="4" w:color="DDD9D0"/>
        </w:pBdr>
      </w:pPr>
      <w:r>
        <w:rPr>
          <w:rFonts w:ascii="Consolas" w:hAnsi="Consolas"/>
          <w:b/>
          <w:i w:val="0"/>
          <w:color w:val="3B4F9E"/>
          <w:sz w:val="30"/>
        </w:rPr>
        <w:t xml:space="preserve">6   </w:t>
      </w:r>
      <w:r>
        <w:rPr>
          <w:rFonts w:ascii="Iowan Old Style" w:hAnsi="Iowan Old Style"/>
          <w:b/>
          <w:i w:val="0"/>
          <w:color w:val="1B1B19"/>
          <w:sz w:val="36"/>
        </w:rPr>
        <w:t>Worked example: catching one, not two</w:t>
      </w:r>
    </w:p>
    <w:p>
      <w:pPr>
        <w:spacing w:before="0" w:after="200"/>
      </w:pPr>
      <w:r>
        <w:rPr>
          <w:rFonts w:ascii="Iowan Old Style" w:hAnsi="Iowan Old Style"/>
          <w:b w:val="0"/>
          <w:i w:val="0"/>
          <w:color w:val="4A4A46"/>
          <w:sz w:val="22"/>
        </w:rPr>
        <w:t>The file below defines two genuinely duplicated methods (computeSubtotal and computeShippingCost run the identical accumulation loop over different parameter names) and two unrelated one-line getters that happen to share the same shape by convention, not by copying:</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928"/>
      </w:tblGrid>
      <w:tr>
        <w:trPr>
          <w:cantSplit/>
        </w:trPr>
        <w:tc>
          <w:tcPr>
            <w:tcW w:type="dxa" w:w="8928"/>
            <w:shd w:val="clear" w:color="auto" w:fill="EAE7DD"/>
            <w:tcMar>
              <w:top w:w="160" w:type="dxa"/>
              <w:bottom w:w="160" w:type="dxa"/>
              <w:left w:w="220" w:type="dxa"/>
              <w:right w:w="220" w:type="dxa"/>
            </w:tcMar>
          </w:tcPr>
          <w:p>
            <w:pPr>
              <w:spacing w:after="0" w:line="307" w:lineRule="auto"/>
            </w:pPr>
            <w:r>
              <w:rPr>
                <w:rFonts w:ascii="Consolas" w:hAnsi="Consolas"/>
                <w:b w:val="0"/>
                <w:i w:val="0"/>
                <w:color w:val="2A2A26"/>
                <w:sz w:val="17"/>
              </w:rPr>
              <w:t>public class Ledger {</w:t>
            </w:r>
          </w:p>
          <w:p>
            <w:pPr>
              <w:spacing w:after="0" w:line="307" w:lineRule="auto"/>
            </w:pPr>
            <w:r>
              <w:rPr>
                <w:rFonts w:ascii="Consolas" w:hAnsi="Consolas"/>
                <w:b w:val="0"/>
                <w:i w:val="0"/>
                <w:color w:val="2A2A26"/>
                <w:sz w:val="17"/>
              </w:rPr>
              <w:t xml:space="preserve">    private String name;</w:t>
            </w:r>
          </w:p>
          <w:p>
            <w:pPr>
              <w:spacing w:after="0" w:line="307" w:lineRule="auto"/>
            </w:pPr>
            <w:r>
              <w:rPr>
                <w:rFonts w:ascii="Consolas" w:hAnsi="Consolas"/>
                <w:b w:val="0"/>
                <w:i w:val="0"/>
                <w:color w:val="2A2A26"/>
                <w:sz w:val="17"/>
              </w:rPr>
              <w:t xml:space="preserve">    private String description;</w:t>
            </w:r>
          </w:p>
          <w:p>
            <w:pPr>
              <w:spacing w:after="0" w:line="307" w:lineRule="auto"/>
            </w:pPr>
            <w:r>
              <w:rPr>
                <w:rFonts w:ascii="Consolas" w:hAnsi="Consolas"/>
                <w:b w:val="0"/>
                <w:i w:val="0"/>
                <w:color w:val="2A2A26"/>
                <w:sz w:val="17"/>
              </w:rPr>
              <w:t xml:space="preserve"> </w:t>
            </w:r>
          </w:p>
          <w:p>
            <w:pPr>
              <w:spacing w:after="0" w:line="307" w:lineRule="auto"/>
            </w:pPr>
            <w:r>
              <w:rPr>
                <w:rFonts w:ascii="Consolas" w:hAnsi="Consolas"/>
                <w:b w:val="0"/>
                <w:i w:val="0"/>
                <w:color w:val="2A2A26"/>
                <w:sz w:val="17"/>
              </w:rPr>
              <w:t xml:space="preserve">    public int computeSubtotal(int price, int qty) {</w:t>
            </w:r>
          </w:p>
          <w:p>
            <w:pPr>
              <w:spacing w:after="0" w:line="307" w:lineRule="auto"/>
            </w:pPr>
            <w:r>
              <w:rPr>
                <w:rFonts w:ascii="Consolas" w:hAnsi="Consolas"/>
                <w:b w:val="0"/>
                <w:i w:val="0"/>
                <w:color w:val="2A2A26"/>
                <w:sz w:val="17"/>
              </w:rPr>
              <w:t xml:space="preserve">        int total = 0;</w:t>
            </w:r>
          </w:p>
          <w:p>
            <w:pPr>
              <w:spacing w:after="0" w:line="307" w:lineRule="auto"/>
            </w:pPr>
            <w:r>
              <w:rPr>
                <w:rFonts w:ascii="Consolas" w:hAnsi="Consolas"/>
                <w:b w:val="0"/>
                <w:i w:val="0"/>
                <w:color w:val="2A2A26"/>
                <w:sz w:val="17"/>
              </w:rPr>
              <w:t xml:space="preserve">        for (int i = 0; i &lt; qty; i++) {</w:t>
            </w:r>
          </w:p>
          <w:p>
            <w:pPr>
              <w:spacing w:after="0" w:line="307" w:lineRule="auto"/>
            </w:pPr>
            <w:r>
              <w:rPr>
                <w:rFonts w:ascii="Consolas" w:hAnsi="Consolas"/>
                <w:b w:val="0"/>
                <w:i w:val="0"/>
                <w:color w:val="2A2A26"/>
                <w:sz w:val="17"/>
              </w:rPr>
              <w:t xml:space="preserve">            total += price;</w:t>
            </w:r>
          </w:p>
          <w:p>
            <w:pPr>
              <w:spacing w:after="0" w:line="307" w:lineRule="auto"/>
            </w:pPr>
            <w:r>
              <w:rPr>
                <w:rFonts w:ascii="Consolas" w:hAnsi="Consolas"/>
                <w:b w:val="0"/>
                <w:i w:val="0"/>
                <w:color w:val="2A2A26"/>
                <w:sz w:val="17"/>
              </w:rPr>
              <w:t xml:space="preserve">        }</w:t>
            </w:r>
          </w:p>
          <w:p>
            <w:pPr>
              <w:spacing w:after="0" w:line="307" w:lineRule="auto"/>
            </w:pPr>
            <w:r>
              <w:rPr>
                <w:rFonts w:ascii="Consolas" w:hAnsi="Consolas"/>
                <w:b w:val="0"/>
                <w:i w:val="0"/>
                <w:color w:val="2A2A26"/>
                <w:sz w:val="17"/>
              </w:rPr>
              <w:t xml:space="preserve">        return total;</w:t>
            </w:r>
          </w:p>
          <w:p>
            <w:pPr>
              <w:spacing w:after="0" w:line="307" w:lineRule="auto"/>
            </w:pPr>
            <w:r>
              <w:rPr>
                <w:rFonts w:ascii="Consolas" w:hAnsi="Consolas"/>
                <w:b w:val="0"/>
                <w:i w:val="0"/>
                <w:color w:val="2A2A26"/>
                <w:sz w:val="17"/>
              </w:rPr>
              <w:t xml:space="preserve">    }</w:t>
            </w:r>
          </w:p>
          <w:p>
            <w:pPr>
              <w:spacing w:after="0" w:line="307" w:lineRule="auto"/>
            </w:pPr>
            <w:r>
              <w:rPr>
                <w:rFonts w:ascii="Consolas" w:hAnsi="Consolas"/>
                <w:b w:val="0"/>
                <w:i w:val="0"/>
                <w:color w:val="2A2A26"/>
                <w:sz w:val="17"/>
              </w:rPr>
              <w:t xml:space="preserve"> </w:t>
            </w:r>
          </w:p>
          <w:p>
            <w:pPr>
              <w:spacing w:after="0" w:line="307" w:lineRule="auto"/>
            </w:pPr>
            <w:r>
              <w:rPr>
                <w:rFonts w:ascii="Consolas" w:hAnsi="Consolas"/>
                <w:b w:val="0"/>
                <w:i w:val="0"/>
                <w:color w:val="2A2A26"/>
                <w:sz w:val="17"/>
              </w:rPr>
              <w:t xml:space="preserve">    public int computeShippingCost(int rate, int units) {</w:t>
            </w:r>
          </w:p>
          <w:p>
            <w:pPr>
              <w:spacing w:after="0" w:line="307" w:lineRule="auto"/>
            </w:pPr>
            <w:r>
              <w:rPr>
                <w:rFonts w:ascii="Consolas" w:hAnsi="Consolas"/>
                <w:b w:val="0"/>
                <w:i w:val="0"/>
                <w:color w:val="2A2A26"/>
                <w:sz w:val="17"/>
              </w:rPr>
              <w:t xml:space="preserve">        int total = 0;</w:t>
            </w:r>
          </w:p>
          <w:p>
            <w:pPr>
              <w:spacing w:after="0" w:line="307" w:lineRule="auto"/>
            </w:pPr>
            <w:r>
              <w:rPr>
                <w:rFonts w:ascii="Consolas" w:hAnsi="Consolas"/>
                <w:b w:val="0"/>
                <w:i w:val="0"/>
                <w:color w:val="2A2A26"/>
                <w:sz w:val="17"/>
              </w:rPr>
              <w:t xml:space="preserve">        for (int i = 0; i &lt; units; i++) {</w:t>
            </w:r>
          </w:p>
          <w:p>
            <w:pPr>
              <w:spacing w:after="0" w:line="307" w:lineRule="auto"/>
            </w:pPr>
            <w:r>
              <w:rPr>
                <w:rFonts w:ascii="Consolas" w:hAnsi="Consolas"/>
                <w:b w:val="0"/>
                <w:i w:val="0"/>
                <w:color w:val="2A2A26"/>
                <w:sz w:val="17"/>
              </w:rPr>
              <w:t xml:space="preserve">            total += rate;</w:t>
            </w:r>
          </w:p>
          <w:p>
            <w:pPr>
              <w:spacing w:after="0" w:line="307" w:lineRule="auto"/>
            </w:pPr>
            <w:r>
              <w:rPr>
                <w:rFonts w:ascii="Consolas" w:hAnsi="Consolas"/>
                <w:b w:val="0"/>
                <w:i w:val="0"/>
                <w:color w:val="2A2A26"/>
                <w:sz w:val="17"/>
              </w:rPr>
              <w:t xml:space="preserve">        }</w:t>
            </w:r>
          </w:p>
          <w:p>
            <w:pPr>
              <w:spacing w:after="0" w:line="307" w:lineRule="auto"/>
            </w:pPr>
            <w:r>
              <w:rPr>
                <w:rFonts w:ascii="Consolas" w:hAnsi="Consolas"/>
                <w:b w:val="0"/>
                <w:i w:val="0"/>
                <w:color w:val="2A2A26"/>
                <w:sz w:val="17"/>
              </w:rPr>
              <w:t xml:space="preserve">        return total;</w:t>
            </w:r>
          </w:p>
          <w:p>
            <w:pPr>
              <w:spacing w:after="0" w:line="307" w:lineRule="auto"/>
            </w:pPr>
            <w:r>
              <w:rPr>
                <w:rFonts w:ascii="Consolas" w:hAnsi="Consolas"/>
                <w:b w:val="0"/>
                <w:i w:val="0"/>
                <w:color w:val="2A2A26"/>
                <w:sz w:val="17"/>
              </w:rPr>
              <w:t xml:space="preserve">    }</w:t>
            </w:r>
          </w:p>
          <w:p>
            <w:pPr>
              <w:spacing w:after="0" w:line="307" w:lineRule="auto"/>
            </w:pPr>
            <w:r>
              <w:rPr>
                <w:rFonts w:ascii="Consolas" w:hAnsi="Consolas"/>
                <w:b w:val="0"/>
                <w:i w:val="0"/>
                <w:color w:val="2A2A26"/>
                <w:sz w:val="17"/>
              </w:rPr>
              <w:t xml:space="preserve"> </w:t>
            </w:r>
          </w:p>
          <w:p>
            <w:pPr>
              <w:spacing w:after="0" w:line="307" w:lineRule="auto"/>
            </w:pPr>
            <w:r>
              <w:rPr>
                <w:rFonts w:ascii="Consolas" w:hAnsi="Consolas"/>
                <w:b w:val="0"/>
                <w:i w:val="0"/>
                <w:color w:val="2A2A26"/>
                <w:sz w:val="17"/>
              </w:rPr>
              <w:t xml:space="preserve">    public String getName() {</w:t>
            </w:r>
          </w:p>
          <w:p>
            <w:pPr>
              <w:spacing w:after="0" w:line="307" w:lineRule="auto"/>
            </w:pPr>
            <w:r>
              <w:rPr>
                <w:rFonts w:ascii="Consolas" w:hAnsi="Consolas"/>
                <w:b w:val="0"/>
                <w:i w:val="0"/>
                <w:color w:val="2A2A26"/>
                <w:sz w:val="17"/>
              </w:rPr>
              <w:t xml:space="preserve">        return this.name;</w:t>
            </w:r>
          </w:p>
          <w:p>
            <w:pPr>
              <w:spacing w:after="0" w:line="307" w:lineRule="auto"/>
            </w:pPr>
            <w:r>
              <w:rPr>
                <w:rFonts w:ascii="Consolas" w:hAnsi="Consolas"/>
                <w:b w:val="0"/>
                <w:i w:val="0"/>
                <w:color w:val="2A2A26"/>
                <w:sz w:val="17"/>
              </w:rPr>
              <w:t xml:space="preserve">    }</w:t>
            </w:r>
          </w:p>
          <w:p>
            <w:pPr>
              <w:spacing w:after="0" w:line="307" w:lineRule="auto"/>
            </w:pPr>
            <w:r>
              <w:rPr>
                <w:rFonts w:ascii="Consolas" w:hAnsi="Consolas"/>
                <w:b w:val="0"/>
                <w:i w:val="0"/>
                <w:color w:val="2A2A26"/>
                <w:sz w:val="17"/>
              </w:rPr>
              <w:t xml:space="preserve"> </w:t>
            </w:r>
          </w:p>
          <w:p>
            <w:pPr>
              <w:spacing w:after="0" w:line="307" w:lineRule="auto"/>
            </w:pPr>
            <w:r>
              <w:rPr>
                <w:rFonts w:ascii="Consolas" w:hAnsi="Consolas"/>
                <w:b w:val="0"/>
                <w:i w:val="0"/>
                <w:color w:val="2A2A26"/>
                <w:sz w:val="17"/>
              </w:rPr>
              <w:t xml:space="preserve">    public String getDescription() {</w:t>
            </w:r>
          </w:p>
          <w:p>
            <w:pPr>
              <w:spacing w:after="0" w:line="307" w:lineRule="auto"/>
            </w:pPr>
            <w:r>
              <w:rPr>
                <w:rFonts w:ascii="Consolas" w:hAnsi="Consolas"/>
                <w:b w:val="0"/>
                <w:i w:val="0"/>
                <w:color w:val="2A2A26"/>
                <w:sz w:val="17"/>
              </w:rPr>
              <w:t xml:space="preserve">        return this.description;</w:t>
            </w:r>
          </w:p>
          <w:p>
            <w:pPr>
              <w:spacing w:after="0" w:line="307" w:lineRule="auto"/>
            </w:pPr>
            <w:r>
              <w:rPr>
                <w:rFonts w:ascii="Consolas" w:hAnsi="Consolas"/>
                <w:b w:val="0"/>
                <w:i w:val="0"/>
                <w:color w:val="2A2A26"/>
                <w:sz w:val="17"/>
              </w:rPr>
              <w:t xml:space="preserve">    }</w:t>
            </w:r>
          </w:p>
          <w:p>
            <w:pPr>
              <w:spacing w:after="0" w:line="307" w:lineRule="auto"/>
            </w:pPr>
            <w:r>
              <w:rPr>
                <w:rFonts w:ascii="Consolas" w:hAnsi="Consolas"/>
                <w:b w:val="0"/>
                <w:i w:val="0"/>
                <w:color w:val="2A2A26"/>
                <w:sz w:val="17"/>
              </w:rPr>
              <w:t>}</w:t>
            </w:r>
          </w:p>
        </w:tc>
      </w:tr>
    </w:tbl>
    <w:p>
      <w:pPr>
        <w:spacing w:after="80"/>
      </w:pPr>
    </w:p>
    <w:p>
      <w:pPr>
        <w:spacing w:before="0" w:after="200"/>
      </w:pPr>
      <w:r>
        <w:rPr>
          <w:rFonts w:ascii="Iowan Old Style" w:hAnsi="Iowan Old Style"/>
          <w:b w:val="0"/>
          <w:i w:val="0"/>
          <w:color w:val="4A4A46"/>
          <w:sz w:val="22"/>
        </w:rPr>
        <w:t>Six real runs against this file, moving one lever at a time, trace the full shape of the trade-off:</w:t>
      </w:r>
    </w:p>
    <w:tbl>
      <w:tblPr>
        <w:tblW w:type="auto" w:w="0"/>
        <w:jc w:val="center"/>
        <w:tblLayout w:type="fixed"/>
        <w:tblLook w:firstColumn="1" w:firstRow="1" w:lastColumn="0" w:lastRow="0" w:noHBand="0" w:noVBand="1" w:val="04A0"/>
        <w:tblBorders>
          <w:top w:val="single" w:sz="4" w:space="0" w:color="DDD9D0"/>
          <w:left w:val="single" w:sz="4" w:space="0" w:color="DDD9D0"/>
          <w:bottom w:val="single" w:sz="4" w:space="0" w:color="DDD9D0"/>
          <w:right w:val="single" w:sz="4" w:space="0" w:color="DDD9D0"/>
          <w:insideH w:val="single" w:sz="4" w:space="0" w:color="DDD9D0"/>
          <w:insideV w:val="single" w:sz="4" w:space="0" w:color="DDD9D0"/>
        </w:tblBorders>
      </w:tblPr>
      <w:tblGrid>
        <w:gridCol w:w="1786"/>
        <w:gridCol w:w="1786"/>
        <w:gridCol w:w="1786"/>
        <w:gridCol w:w="1786"/>
        <w:gridCol w:w="1786"/>
      </w:tblGrid>
      <w:tr>
        <w:trPr>
          <w:cantSplit/>
        </w:trPr>
        <w:tc>
          <w:tcPr>
            <w:tcW w:type="dxa" w:w="432"/>
            <w:shd w:val="clear" w:color="auto" w:fill="3B4F9E"/>
            <w:tcMar>
              <w:top w:w="100" w:type="dxa"/>
              <w:bottom w:w="100" w:type="dxa"/>
              <w:left w:w="140" w:type="dxa"/>
              <w:right w:w="140" w:type="dxa"/>
            </w:tcMar>
          </w:tcPr>
          <w:p>
            <w:r>
              <w:rPr>
                <w:rFonts w:ascii="Calibri" w:hAnsi="Calibri"/>
                <w:b/>
                <w:i w:val="0"/>
                <w:color w:val="FFFFFF"/>
                <w:sz w:val="18"/>
              </w:rPr>
              <w:t>#</w:t>
            </w:r>
          </w:p>
        </w:tc>
        <w:tc>
          <w:tcPr>
            <w:tcW w:type="dxa" w:w="936"/>
            <w:shd w:val="clear" w:color="auto" w:fill="3B4F9E"/>
            <w:tcMar>
              <w:top w:w="100" w:type="dxa"/>
              <w:bottom w:w="100" w:type="dxa"/>
              <w:left w:w="140" w:type="dxa"/>
              <w:right w:w="140" w:type="dxa"/>
            </w:tcMar>
          </w:tcPr>
          <w:p>
            <w:r>
              <w:rPr>
                <w:rFonts w:ascii="Calibri" w:hAnsi="Calibri"/>
                <w:b/>
                <w:i w:val="0"/>
                <w:color w:val="FFFFFF"/>
                <w:sz w:val="18"/>
              </w:rPr>
              <w:t>Threshold</w:t>
            </w:r>
          </w:p>
        </w:tc>
        <w:tc>
          <w:tcPr>
            <w:tcW w:type="dxa" w:w="2736"/>
            <w:shd w:val="clear" w:color="auto" w:fill="3B4F9E"/>
            <w:tcMar>
              <w:top w:w="100" w:type="dxa"/>
              <w:bottom w:w="100" w:type="dxa"/>
              <w:left w:w="140" w:type="dxa"/>
              <w:right w:w="140" w:type="dxa"/>
            </w:tcMar>
          </w:tcPr>
          <w:p>
            <w:r>
              <w:rPr>
                <w:rFonts w:ascii="Calibri" w:hAnsi="Calibri"/>
                <w:b/>
                <w:i w:val="0"/>
                <w:color w:val="FFFFFF"/>
                <w:sz w:val="18"/>
              </w:rPr>
              <w:t>Option</w:t>
            </w:r>
          </w:p>
        </w:tc>
        <w:tc>
          <w:tcPr>
            <w:tcW w:type="dxa" w:w="2160"/>
            <w:shd w:val="clear" w:color="auto" w:fill="3B4F9E"/>
            <w:tcMar>
              <w:top w:w="100" w:type="dxa"/>
              <w:bottom w:w="100" w:type="dxa"/>
              <w:left w:w="140" w:type="dxa"/>
              <w:right w:w="140" w:type="dxa"/>
            </w:tcMar>
          </w:tcPr>
          <w:p>
            <w:r>
              <w:rPr>
                <w:rFonts w:ascii="Calibri" w:hAnsi="Calibri"/>
                <w:b/>
                <w:i w:val="0"/>
                <w:color w:val="FFFFFF"/>
                <w:sz w:val="18"/>
              </w:rPr>
              <w:t>Found</w:t>
            </w:r>
          </w:p>
        </w:tc>
        <w:tc>
          <w:tcPr>
            <w:tcW w:type="dxa" w:w="2376"/>
            <w:shd w:val="clear" w:color="auto" w:fill="3B4F9E"/>
            <w:tcMar>
              <w:top w:w="100" w:type="dxa"/>
              <w:bottom w:w="100" w:type="dxa"/>
              <w:left w:w="140" w:type="dxa"/>
              <w:right w:w="140" w:type="dxa"/>
            </w:tcMar>
          </w:tcPr>
          <w:p>
            <w:r>
              <w:rPr>
                <w:rFonts w:ascii="Calibri" w:hAnsi="Calibri"/>
                <w:b/>
                <w:i w:val="0"/>
                <w:color w:val="FFFFFF"/>
                <w:sz w:val="18"/>
              </w:rPr>
              <w:t>Verdict</w:t>
            </w:r>
          </w:p>
        </w:tc>
      </w:tr>
      <w:tr>
        <w:trPr>
          <w:cantSplit/>
        </w:trPr>
        <w:tc>
          <w:tcPr>
            <w:tcW w:type="dxa" w:w="432"/>
            <w:shd w:val="clear" w:color="auto" w:fill="FBFAF7"/>
            <w:tcMar>
              <w:top w:w="100" w:type="dxa"/>
              <w:bottom w:w="100" w:type="dxa"/>
              <w:left w:w="140" w:type="dxa"/>
              <w:right w:w="140" w:type="dxa"/>
            </w:tcMar>
          </w:tcPr>
          <w:p>
            <w:pPr>
              <w:spacing w:after="0"/>
            </w:pPr>
            <w:r>
              <w:rPr>
                <w:rFonts w:ascii="Consolas" w:hAnsi="Consolas"/>
                <w:b w:val="0"/>
                <w:i w:val="0"/>
                <w:color w:val="4A4A46"/>
                <w:sz w:val="18"/>
              </w:rPr>
              <w:t>1</w:t>
            </w:r>
          </w:p>
        </w:tc>
        <w:tc>
          <w:tcPr>
            <w:tcW w:type="dxa" w:w="936"/>
            <w:shd w:val="clear" w:color="auto" w:fill="FBFAF7"/>
            <w:tcMar>
              <w:top w:w="100" w:type="dxa"/>
              <w:bottom w:w="100" w:type="dxa"/>
              <w:left w:w="140" w:type="dxa"/>
              <w:right w:w="140" w:type="dxa"/>
            </w:tcMar>
          </w:tcPr>
          <w:p>
            <w:pPr>
              <w:spacing w:after="0"/>
            </w:pPr>
            <w:r>
              <w:rPr>
                <w:rFonts w:ascii="Consolas" w:hAnsi="Consolas"/>
                <w:b w:val="0"/>
                <w:i w:val="0"/>
                <w:color w:val="4A4A46"/>
                <w:sz w:val="18"/>
              </w:rPr>
              <w:t>6</w:t>
            </w:r>
          </w:p>
        </w:tc>
        <w:tc>
          <w:tcPr>
            <w:tcW w:type="dxa" w:w="273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none</w:t>
            </w:r>
          </w:p>
        </w:tc>
        <w:tc>
          <w:tcPr>
            <w:tcW w:type="dxa" w:w="2160"/>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0 matches</w:t>
            </w:r>
          </w:p>
        </w:tc>
        <w:tc>
          <w:tcPr>
            <w:tcW w:type="dxa" w:w="237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too strict: real duplicate missed</w:t>
            </w:r>
          </w:p>
        </w:tc>
      </w:tr>
      <w:tr>
        <w:trPr>
          <w:cantSplit/>
        </w:trPr>
        <w:tc>
          <w:tcPr>
            <w:tcW w:type="dxa" w:w="432"/>
            <w:shd w:val="clear" w:color="auto" w:fill="F3F2EE"/>
            <w:tcMar>
              <w:top w:w="100" w:type="dxa"/>
              <w:bottom w:w="100" w:type="dxa"/>
              <w:left w:w="140" w:type="dxa"/>
              <w:right w:w="140" w:type="dxa"/>
            </w:tcMar>
          </w:tcPr>
          <w:p>
            <w:pPr>
              <w:spacing w:after="0"/>
            </w:pPr>
            <w:r>
              <w:rPr>
                <w:rFonts w:ascii="Consolas" w:hAnsi="Consolas"/>
                <w:b w:val="0"/>
                <w:i w:val="0"/>
                <w:color w:val="4A4A46"/>
                <w:sz w:val="18"/>
              </w:rPr>
              <w:t>2</w:t>
            </w:r>
          </w:p>
        </w:tc>
        <w:tc>
          <w:tcPr>
            <w:tcW w:type="dxa" w:w="936"/>
            <w:shd w:val="clear" w:color="auto" w:fill="F3F2EE"/>
            <w:tcMar>
              <w:top w:w="100" w:type="dxa"/>
              <w:bottom w:w="100" w:type="dxa"/>
              <w:left w:w="140" w:type="dxa"/>
              <w:right w:w="140" w:type="dxa"/>
            </w:tcMar>
          </w:tcPr>
          <w:p>
            <w:pPr>
              <w:spacing w:after="0"/>
            </w:pPr>
            <w:r>
              <w:rPr>
                <w:rFonts w:ascii="Consolas" w:hAnsi="Consolas"/>
                <w:b w:val="0"/>
                <w:i w:val="0"/>
                <w:color w:val="4A4A46"/>
                <w:sz w:val="18"/>
              </w:rPr>
              <w:t>4</w:t>
            </w:r>
          </w:p>
        </w:tc>
        <w:tc>
          <w:tcPr>
            <w:tcW w:type="dxa" w:w="273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none</w:t>
            </w:r>
          </w:p>
        </w:tc>
        <w:tc>
          <w:tcPr>
            <w:tcW w:type="dxa" w:w="2160"/>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0 matches</w:t>
            </w:r>
          </w:p>
        </w:tc>
        <w:tc>
          <w:tcPr>
            <w:tcW w:type="dxa" w:w="237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still too strict</w:t>
            </w:r>
          </w:p>
        </w:tc>
      </w:tr>
      <w:tr>
        <w:trPr>
          <w:cantSplit/>
        </w:trPr>
        <w:tc>
          <w:tcPr>
            <w:tcW w:type="dxa" w:w="432"/>
            <w:shd w:val="clear" w:color="auto" w:fill="FBFAF7"/>
            <w:tcMar>
              <w:top w:w="100" w:type="dxa"/>
              <w:bottom w:w="100" w:type="dxa"/>
              <w:left w:w="140" w:type="dxa"/>
              <w:right w:w="140" w:type="dxa"/>
            </w:tcMar>
          </w:tcPr>
          <w:p>
            <w:pPr>
              <w:spacing w:after="0"/>
            </w:pPr>
            <w:r>
              <w:rPr>
                <w:rFonts w:ascii="Consolas" w:hAnsi="Consolas"/>
                <w:b w:val="0"/>
                <w:i w:val="0"/>
                <w:color w:val="4A4A46"/>
                <w:sz w:val="18"/>
              </w:rPr>
              <w:t>3</w:t>
            </w:r>
          </w:p>
        </w:tc>
        <w:tc>
          <w:tcPr>
            <w:tcW w:type="dxa" w:w="936"/>
            <w:shd w:val="clear" w:color="auto" w:fill="FBFAF7"/>
            <w:tcMar>
              <w:top w:w="100" w:type="dxa"/>
              <w:bottom w:w="100" w:type="dxa"/>
              <w:left w:w="140" w:type="dxa"/>
              <w:right w:w="140" w:type="dxa"/>
            </w:tcMar>
          </w:tcPr>
          <w:p>
            <w:pPr>
              <w:spacing w:after="0"/>
            </w:pPr>
            <w:r>
              <w:rPr>
                <w:rFonts w:ascii="Consolas" w:hAnsi="Consolas"/>
                <w:b w:val="0"/>
                <w:i w:val="0"/>
                <w:color w:val="4A4A46"/>
                <w:sz w:val="18"/>
              </w:rPr>
              <w:t>2</w:t>
            </w:r>
          </w:p>
        </w:tc>
        <w:tc>
          <w:tcPr>
            <w:tcW w:type="dxa" w:w="2736"/>
            <w:shd w:val="clear" w:color="auto" w:fill="FBFAF7"/>
            <w:tcMar>
              <w:top w:w="100" w:type="dxa"/>
              <w:bottom w:w="100" w:type="dxa"/>
              <w:left w:w="140" w:type="dxa"/>
              <w:right w:w="140" w:type="dxa"/>
            </w:tcMar>
          </w:tcPr>
          <w:p>
            <w:pPr>
              <w:spacing w:after="0"/>
            </w:pPr>
            <w:r>
              <w:rPr>
                <w:rFonts w:ascii="Consolas" w:hAnsi="Consolas"/>
                <w:b w:val="0"/>
                <w:i w:val="0"/>
                <w:color w:val="4A4A46"/>
                <w:sz w:val="18"/>
              </w:rPr>
              <w:t>-ignoreIdentifiers</w:t>
            </w:r>
          </w:p>
        </w:tc>
        <w:tc>
          <w:tcPr>
            <w:tcW w:type="dxa" w:w="2160"/>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2 matches (5 + 2 lines)</w:t>
            </w:r>
          </w:p>
        </w:tc>
        <w:tc>
          <w:tcPr>
            <w:tcW w:type="dxa" w:w="237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too loose: getters false-positive</w:t>
            </w:r>
          </w:p>
        </w:tc>
      </w:tr>
      <w:tr>
        <w:trPr>
          <w:cantSplit/>
        </w:trPr>
        <w:tc>
          <w:tcPr>
            <w:tcW w:type="dxa" w:w="432"/>
            <w:shd w:val="clear" w:color="auto" w:fill="F3F2EE"/>
            <w:tcMar>
              <w:top w:w="100" w:type="dxa"/>
              <w:bottom w:w="100" w:type="dxa"/>
              <w:left w:w="140" w:type="dxa"/>
              <w:right w:w="140" w:type="dxa"/>
            </w:tcMar>
          </w:tcPr>
          <w:p>
            <w:pPr>
              <w:spacing w:after="0"/>
            </w:pPr>
            <w:r>
              <w:rPr>
                <w:rFonts w:ascii="Consolas" w:hAnsi="Consolas"/>
                <w:b w:val="0"/>
                <w:i w:val="0"/>
                <w:color w:val="4A4A46"/>
                <w:sz w:val="18"/>
              </w:rPr>
              <w:t>4</w:t>
            </w:r>
          </w:p>
        </w:tc>
        <w:tc>
          <w:tcPr>
            <w:tcW w:type="dxa" w:w="936"/>
            <w:shd w:val="clear" w:color="auto" w:fill="F3F2EE"/>
            <w:tcMar>
              <w:top w:w="100" w:type="dxa"/>
              <w:bottom w:w="100" w:type="dxa"/>
              <w:left w:w="140" w:type="dxa"/>
              <w:right w:w="140" w:type="dxa"/>
            </w:tcMar>
          </w:tcPr>
          <w:p>
            <w:pPr>
              <w:spacing w:after="0"/>
            </w:pPr>
            <w:r>
              <w:rPr>
                <w:rFonts w:ascii="Consolas" w:hAnsi="Consolas"/>
                <w:b w:val="0"/>
                <w:i w:val="0"/>
                <w:color w:val="4A4A46"/>
                <w:sz w:val="18"/>
              </w:rPr>
              <w:t>3</w:t>
            </w:r>
          </w:p>
        </w:tc>
        <w:tc>
          <w:tcPr>
            <w:tcW w:type="dxa" w:w="2736"/>
            <w:shd w:val="clear" w:color="auto" w:fill="F3F2EE"/>
            <w:tcMar>
              <w:top w:w="100" w:type="dxa"/>
              <w:bottom w:w="100" w:type="dxa"/>
              <w:left w:w="140" w:type="dxa"/>
              <w:right w:w="140" w:type="dxa"/>
            </w:tcMar>
          </w:tcPr>
          <w:p>
            <w:pPr>
              <w:spacing w:after="0"/>
            </w:pPr>
            <w:r>
              <w:rPr>
                <w:rFonts w:ascii="Consolas" w:hAnsi="Consolas"/>
                <w:b w:val="0"/>
                <w:i w:val="0"/>
                <w:color w:val="4A4A46"/>
                <w:sz w:val="18"/>
              </w:rPr>
              <w:t>-ignoreIdentifiers</w:t>
            </w:r>
          </w:p>
        </w:tc>
        <w:tc>
          <w:tcPr>
            <w:tcW w:type="dxa" w:w="2160"/>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1 match (5 lines)</w:t>
            </w:r>
          </w:p>
        </w:tc>
        <w:tc>
          <w:tcPr>
            <w:tcW w:type="dxa" w:w="237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safe, but fragile</w:t>
            </w:r>
          </w:p>
        </w:tc>
      </w:tr>
      <w:tr>
        <w:trPr>
          <w:cantSplit/>
        </w:trPr>
        <w:tc>
          <w:tcPr>
            <w:tcW w:type="dxa" w:w="432"/>
            <w:shd w:val="clear" w:color="auto" w:fill="FBFAF7"/>
            <w:tcMar>
              <w:top w:w="100" w:type="dxa"/>
              <w:bottom w:w="100" w:type="dxa"/>
              <w:left w:w="140" w:type="dxa"/>
              <w:right w:w="140" w:type="dxa"/>
            </w:tcMar>
          </w:tcPr>
          <w:p>
            <w:pPr>
              <w:spacing w:after="0"/>
            </w:pPr>
            <w:r>
              <w:rPr>
                <w:rFonts w:ascii="Consolas" w:hAnsi="Consolas"/>
                <w:b w:val="0"/>
                <w:i w:val="0"/>
                <w:color w:val="4A4A46"/>
                <w:sz w:val="18"/>
              </w:rPr>
              <w:t>5</w:t>
            </w:r>
          </w:p>
        </w:tc>
        <w:tc>
          <w:tcPr>
            <w:tcW w:type="dxa" w:w="936"/>
            <w:shd w:val="clear" w:color="auto" w:fill="FBFAF7"/>
            <w:tcMar>
              <w:top w:w="100" w:type="dxa"/>
              <w:bottom w:w="100" w:type="dxa"/>
              <w:left w:w="140" w:type="dxa"/>
              <w:right w:w="140" w:type="dxa"/>
            </w:tcMar>
          </w:tcPr>
          <w:p>
            <w:pPr>
              <w:spacing w:after="0"/>
            </w:pPr>
            <w:r>
              <w:rPr>
                <w:rFonts w:ascii="Consolas" w:hAnsi="Consolas"/>
                <w:b w:val="0"/>
                <w:i w:val="0"/>
                <w:color w:val="4A4A46"/>
                <w:sz w:val="18"/>
              </w:rPr>
              <w:t>3</w:t>
            </w:r>
          </w:p>
        </w:tc>
        <w:tc>
          <w:tcPr>
            <w:tcW w:type="dxa" w:w="2736"/>
            <w:shd w:val="clear" w:color="auto" w:fill="FBFAF7"/>
            <w:tcMar>
              <w:top w:w="100" w:type="dxa"/>
              <w:bottom w:w="100" w:type="dxa"/>
              <w:left w:w="140" w:type="dxa"/>
              <w:right w:w="140" w:type="dxa"/>
            </w:tcMar>
          </w:tcPr>
          <w:p>
            <w:pPr>
              <w:spacing w:after="0"/>
            </w:pPr>
            <w:r>
              <w:rPr>
                <w:rFonts w:ascii="Consolas" w:hAnsi="Consolas"/>
                <w:b w:val="0"/>
                <w:i w:val="0"/>
                <w:color w:val="4A4A46"/>
                <w:sz w:val="18"/>
              </w:rPr>
              <w:t>-ignoreVariableNames</w:t>
            </w:r>
          </w:p>
        </w:tc>
        <w:tc>
          <w:tcPr>
            <w:tcW w:type="dxa" w:w="2160"/>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1 match (4 lines)</w:t>
            </w:r>
          </w:p>
        </w:tc>
        <w:tc>
          <w:tcPr>
            <w:tcW w:type="dxa" w:w="237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safe, and robust</w:t>
            </w:r>
          </w:p>
        </w:tc>
      </w:tr>
      <w:tr>
        <w:trPr>
          <w:cantSplit/>
        </w:trPr>
        <w:tc>
          <w:tcPr>
            <w:tcW w:type="dxa" w:w="432"/>
            <w:shd w:val="clear" w:color="auto" w:fill="F3F2EE"/>
            <w:tcMar>
              <w:top w:w="100" w:type="dxa"/>
              <w:bottom w:w="100" w:type="dxa"/>
              <w:left w:w="140" w:type="dxa"/>
              <w:right w:w="140" w:type="dxa"/>
            </w:tcMar>
          </w:tcPr>
          <w:p>
            <w:pPr>
              <w:spacing w:after="0"/>
            </w:pPr>
            <w:r>
              <w:rPr>
                <w:rFonts w:ascii="Consolas" w:hAnsi="Consolas"/>
                <w:b w:val="0"/>
                <w:i w:val="0"/>
                <w:color w:val="4A4A46"/>
                <w:sz w:val="18"/>
              </w:rPr>
              <w:t>6</w:t>
            </w:r>
          </w:p>
        </w:tc>
        <w:tc>
          <w:tcPr>
            <w:tcW w:type="dxa" w:w="936"/>
            <w:shd w:val="clear" w:color="auto" w:fill="F3F2EE"/>
            <w:tcMar>
              <w:top w:w="100" w:type="dxa"/>
              <w:bottom w:w="100" w:type="dxa"/>
              <w:left w:w="140" w:type="dxa"/>
              <w:right w:w="140" w:type="dxa"/>
            </w:tcMar>
          </w:tcPr>
          <w:p>
            <w:pPr>
              <w:spacing w:after="0"/>
            </w:pPr>
            <w:r>
              <w:rPr>
                <w:rFonts w:ascii="Consolas" w:hAnsi="Consolas"/>
                <w:b w:val="0"/>
                <w:i w:val="0"/>
                <w:color w:val="4A4A46"/>
                <w:sz w:val="18"/>
              </w:rPr>
              <w:t>5</w:t>
            </w:r>
          </w:p>
        </w:tc>
        <w:tc>
          <w:tcPr>
            <w:tcW w:type="dxa" w:w="2736"/>
            <w:shd w:val="clear" w:color="auto" w:fill="F3F2EE"/>
            <w:tcMar>
              <w:top w:w="100" w:type="dxa"/>
              <w:bottom w:w="100" w:type="dxa"/>
              <w:left w:w="140" w:type="dxa"/>
              <w:right w:w="140" w:type="dxa"/>
            </w:tcMar>
          </w:tcPr>
          <w:p>
            <w:pPr>
              <w:spacing w:after="0"/>
            </w:pPr>
            <w:r>
              <w:rPr>
                <w:rFonts w:ascii="Consolas" w:hAnsi="Consolas"/>
                <w:b w:val="0"/>
                <w:i w:val="0"/>
                <w:color w:val="4A4A46"/>
                <w:sz w:val="18"/>
              </w:rPr>
              <w:t>-ignoreVariableNames</w:t>
            </w:r>
          </w:p>
        </w:tc>
        <w:tc>
          <w:tcPr>
            <w:tcW w:type="dxa" w:w="2160"/>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0 matches</w:t>
            </w:r>
          </w:p>
        </w:tc>
        <w:tc>
          <w:tcPr>
            <w:tcW w:type="dxa" w:w="237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too strict again</w:t>
            </w:r>
          </w:p>
        </w:tc>
      </w:tr>
    </w:tbl>
    <w:p>
      <w:pPr>
        <w:spacing w:after="80"/>
      </w:pPr>
    </w:p>
    <w:p>
      <w:pPr>
        <w:spacing w:before="0" w:after="200"/>
      </w:pPr>
      <w:r>
        <w:rPr>
          <w:rFonts w:ascii="Iowan Old Style" w:hAnsi="Iowan Old Style"/>
          <w:b w:val="0"/>
          <w:i w:val="0"/>
          <w:color w:val="4A4A46"/>
          <w:sz w:val="22"/>
        </w:rPr>
        <w:t xml:space="preserve">Run 1 and 2 are section 5's step 1: nothing found, and the source is known to contain a duplicate, so the verdict is "too few." Run 3 loosens both levers at once (low threshold, the broadest identifier option) and finds the real duplicate, but also the two getters, once </w:t>
      </w:r>
      <w:r>
        <w:rPr>
          <w:rFonts w:ascii="Consolas" w:hAnsi="Consolas"/>
          <w:b w:val="0"/>
          <w:i w:val="0"/>
          <w:color w:val="2A2A26"/>
          <w:sz w:val="22"/>
        </w:rPr>
        <w:t>-ignoreIdentifiers</w:t>
      </w:r>
      <w:r>
        <w:rPr>
          <w:rFonts w:ascii="Iowan Old Style" w:hAnsi="Iowan Old Style"/>
          <w:b w:val="0"/>
          <w:i w:val="0"/>
          <w:color w:val="4A4A46"/>
          <w:sz w:val="22"/>
        </w:rPr>
        <w:t xml:space="preserve"> blanks every non-keyword identifier including the method names getName and getDescription themselves, both getters canonicalize to public String _ ( ) return this . _ ; and collide. Run 4 shows threshold alone can rescue precision here, raising it from 2 to 3 drops the 2-line getter match while keeping the 5-line real one. Run 5 shows the more robust fix: </w:t>
      </w:r>
      <w:r>
        <w:rPr>
          <w:rFonts w:ascii="Consolas" w:hAnsi="Consolas"/>
          <w:b w:val="0"/>
          <w:i w:val="0"/>
          <w:color w:val="2A2A26"/>
          <w:sz w:val="22"/>
        </w:rPr>
        <w:t>-ignoreVariableNames</w:t>
      </w:r>
      <w:r>
        <w:rPr>
          <w:rFonts w:ascii="Iowan Old Style" w:hAnsi="Iowan Old Style"/>
          <w:b w:val="0"/>
          <w:i w:val="0"/>
          <w:color w:val="4A4A46"/>
          <w:sz w:val="22"/>
        </w:rPr>
        <w:t xml:space="preserve"> only blanks identifiers classified </w:t>
      </w:r>
      <w:r>
        <w:rPr>
          <w:rFonts w:ascii="Consolas" w:hAnsi="Consolas"/>
          <w:b w:val="0"/>
          <w:i w:val="0"/>
          <w:color w:val="2A2A26"/>
          <w:sz w:val="22"/>
        </w:rPr>
        <w:t>VARIABLE</w:t>
      </w:r>
      <w:r>
        <w:rPr>
          <w:rFonts w:ascii="Iowan Old Style" w:hAnsi="Iowan Old Style"/>
          <w:b w:val="0"/>
          <w:i w:val="0"/>
          <w:color w:val="4A4A46"/>
          <w:sz w:val="22"/>
        </w:rPr>
        <w:t xml:space="preserve">, and a method name followed by ( is classified </w:t>
      </w:r>
      <w:r>
        <w:rPr>
          <w:rFonts w:ascii="Consolas" w:hAnsi="Consolas"/>
          <w:b w:val="0"/>
          <w:i w:val="0"/>
          <w:color w:val="2A2A26"/>
          <w:sz w:val="22"/>
        </w:rPr>
        <w:t>METHOD</w:t>
      </w:r>
      <w:r>
        <w:rPr>
          <w:rFonts w:ascii="Iowan Old Style" w:hAnsi="Iowan Old Style"/>
          <w:b w:val="0"/>
          <w:i w:val="0"/>
          <w:color w:val="4A4A46"/>
          <w:sz w:val="22"/>
        </w:rPr>
        <w:t xml:space="preserve"> (see the companion </w:t>
      </w:r>
      <w:r>
        <w:rPr>
          <w:rFonts w:ascii="Consolas" w:hAnsi="Consolas"/>
          <w:b w:val="0"/>
          <w:i w:val="0"/>
          <w:color w:val="2A2A26"/>
          <w:sz w:val="22"/>
        </w:rPr>
        <w:t>TokenVisitor</w:t>
      </w:r>
      <w:r>
        <w:rPr>
          <w:rFonts w:ascii="Iowan Old Style" w:hAnsi="Iowan Old Style"/>
          <w:b w:val="0"/>
          <w:i w:val="0"/>
          <w:color w:val="4A4A46"/>
          <w:sz w:val="22"/>
        </w:rPr>
        <w:t xml:space="preserve"> report, section 5), so getName and getDescription are never touched and the getters simply do not match at any threshold. Run 6 closes the loop: push threshold to 5 with the correct option and the real duplicate, only 4 significant lines long, disappears again.</w:t>
      </w:r>
    </w:p>
    <w:p>
      <w:pPr>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669280" cy="2834640"/>
                    </a:xfrm>
                    <a:prstGeom prst="rect"/>
                  </pic:spPr>
                </pic:pic>
              </a:graphicData>
            </a:graphic>
          </wp:inline>
        </w:drawing>
      </w:r>
    </w:p>
    <w:p>
      <w:pPr>
        <w:spacing w:before="80" w:after="280"/>
      </w:pPr>
      <w:r>
        <w:rPr>
          <w:rFonts w:ascii="Calibri" w:hAnsi="Calibri"/>
          <w:b w:val="0"/>
          <w:i/>
          <w:color w:val="85837C"/>
          <w:sz w:val="17"/>
        </w:rPr>
        <w:t>Figure 2. The six runs from the table above, plotted on both axes at once. Gray points found nothing (too strict); the red point found the real duplicate plus a coincidence (too loose); the two green points, one blunt-but-threshold-corrected and one targeted, land in the safe corridor.</w:t>
      </w:r>
    </w:p>
    <w:p>
      <w:pPr>
        <w:keepNext/>
        <w:spacing w:before="600" w:after="200"/>
        <w:pBdr>
          <w:bottom w:val="single" w:sz="4" w:space="4" w:color="DDD9D0"/>
        </w:pBdr>
      </w:pPr>
      <w:r>
        <w:rPr>
          <w:rFonts w:ascii="Consolas" w:hAnsi="Consolas"/>
          <w:b/>
          <w:i w:val="0"/>
          <w:color w:val="3B4F9E"/>
          <w:sz w:val="30"/>
        </w:rPr>
        <w:t xml:space="preserve">7   </w:t>
      </w:r>
      <w:r>
        <w:rPr>
          <w:rFonts w:ascii="Iowan Old Style" w:hAnsi="Iowan Old Style"/>
          <w:b/>
          <w:i w:val="0"/>
          <w:color w:val="1B1B19"/>
          <w:sz w:val="36"/>
        </w:rPr>
        <w:t>Prefer narrow to blunt</w:t>
      </w:r>
    </w:p>
    <w:p>
      <w:pPr>
        <w:spacing w:before="0" w:after="200"/>
      </w:pPr>
      <w:r>
        <w:rPr>
          <w:rFonts w:ascii="Iowan Old Style" w:hAnsi="Iowan Old Style"/>
          <w:b w:val="0"/>
          <w:i w:val="0"/>
          <w:color w:val="4A4A46"/>
          <w:sz w:val="22"/>
        </w:rPr>
        <w:t xml:space="preserve">Run 4 and run 5 in the worked example reach the same correct answer by different means, and the difference matters beyond this one file. </w:t>
      </w:r>
      <w:r>
        <w:rPr>
          <w:rFonts w:ascii="Consolas" w:hAnsi="Consolas"/>
          <w:b w:val="0"/>
          <w:i w:val="0"/>
          <w:color w:val="2A2A26"/>
          <w:sz w:val="22"/>
        </w:rPr>
        <w:t>-ignoreIdentifiers</w:t>
      </w:r>
      <w:r>
        <w:rPr>
          <w:rFonts w:ascii="Iowan Old Style" w:hAnsi="Iowan Old Style"/>
          <w:b w:val="0"/>
          <w:i w:val="0"/>
          <w:color w:val="4A4A46"/>
          <w:sz w:val="22"/>
        </w:rPr>
        <w:t xml:space="preserve"> is the broadest identifier-side option: it erases every non-keyword identifier, method names included. </w:t>
      </w:r>
      <w:r>
        <w:rPr>
          <w:rFonts w:ascii="Consolas" w:hAnsi="Consolas"/>
          <w:b w:val="0"/>
          <w:i w:val="0"/>
          <w:color w:val="2A2A26"/>
          <w:sz w:val="22"/>
        </w:rPr>
        <w:t>-ignoreVariableNames</w:t>
      </w:r>
      <w:r>
        <w:rPr>
          <w:rFonts w:ascii="Iowan Old Style" w:hAnsi="Iowan Old Style"/>
          <w:b w:val="0"/>
          <w:i w:val="0"/>
          <w:color w:val="4A4A46"/>
          <w:sz w:val="22"/>
        </w:rPr>
        <w:t xml:space="preserve"> is narrower: it only erases identifiers already classified </w:t>
      </w:r>
      <w:r>
        <w:rPr>
          <w:rFonts w:ascii="Consolas" w:hAnsi="Consolas"/>
          <w:b w:val="0"/>
          <w:i w:val="0"/>
          <w:color w:val="2A2A26"/>
          <w:sz w:val="22"/>
        </w:rPr>
        <w:t>VARIABLE</w:t>
      </w:r>
      <w:r>
        <w:rPr>
          <w:rFonts w:ascii="Iowan Old Style" w:hAnsi="Iowan Old Style"/>
          <w:b w:val="0"/>
          <w:i w:val="0"/>
          <w:color w:val="4A4A46"/>
          <w:sz w:val="22"/>
        </w:rPr>
        <w:t xml:space="preserve"> by </w:t>
      </w:r>
      <w:r>
        <w:rPr>
          <w:rFonts w:ascii="Consolas" w:hAnsi="Consolas"/>
          <w:b w:val="0"/>
          <w:i w:val="0"/>
          <w:color w:val="2A2A26"/>
          <w:sz w:val="22"/>
        </w:rPr>
        <w:t>RecogniseIdentifiersTokenVisitor</w:t>
      </w:r>
      <w:r>
        <w:rPr>
          <w:rFonts w:ascii="Iowan Old Style" w:hAnsi="Iowan Old Style"/>
          <w:b w:val="0"/>
          <w:i w:val="0"/>
          <w:color w:val="4A4A46"/>
          <w:sz w:val="22"/>
        </w:rPr>
        <w:t>, leaving method names, type names, and constants untouched. The broad option worked in run 4 only because the threshold happened to be raised enough to compensate; the narrow option in run 5 was safe by construction, because it never had the power to make two differently-named methods collide in the first place.</w:t>
      </w:r>
    </w:p>
    <w:p>
      <w:pPr>
        <w:spacing w:before="0" w:after="200"/>
      </w:pPr>
      <w:r>
        <w:rPr>
          <w:rFonts w:ascii="Iowan Old Style" w:hAnsi="Iowan Old Style"/>
          <w:b w:val="0"/>
          <w:i w:val="0"/>
          <w:color w:val="4A4A46"/>
          <w:sz w:val="22"/>
        </w:rPr>
        <w:t>As a general rule: reach for the option that erases exactly the cosmetic difference you can point to in the source (a renamed variable, a changed type annotation, a different string literal), and reach for the broad, all-erasing options (</w:t>
      </w:r>
      <w:r>
        <w:rPr>
          <w:rFonts w:ascii="Consolas" w:hAnsi="Consolas"/>
          <w:b w:val="0"/>
          <w:i w:val="0"/>
          <w:color w:val="2A2A26"/>
          <w:sz w:val="22"/>
        </w:rPr>
        <w:t>-ignoreIdentifiers</w:t>
      </w:r>
      <w:r>
        <w:rPr>
          <w:rFonts w:ascii="Iowan Old Style" w:hAnsi="Iowan Old Style"/>
          <w:b w:val="0"/>
          <w:i w:val="0"/>
          <w:color w:val="4A4A46"/>
          <w:sz w:val="22"/>
        </w:rPr>
        <w:t xml:space="preserve">, </w:t>
      </w:r>
      <w:r>
        <w:rPr>
          <w:rFonts w:ascii="Consolas" w:hAnsi="Consolas"/>
          <w:b w:val="0"/>
          <w:i w:val="0"/>
          <w:color w:val="2A2A26"/>
          <w:sz w:val="22"/>
        </w:rPr>
        <w:t>-ignoreLiterals</w:t>
      </w:r>
      <w:r>
        <w:rPr>
          <w:rFonts w:ascii="Iowan Old Style" w:hAnsi="Iowan Old Style"/>
          <w:b w:val="0"/>
          <w:i w:val="0"/>
          <w:color w:val="4A4A46"/>
          <w:sz w:val="22"/>
        </w:rPr>
        <w:t>) only when the narrower ones genuinely do not cover the case. The broad options are not wrong to use, they are simply harder to reason about, since they collapse more distinctions than most single duplicate has actually changed, which is exactly what widens the door to coincidental matches like the getters above.</w:t>
      </w:r>
    </w:p>
    <w:p>
      <w:pPr>
        <w:keepNext/>
        <w:spacing w:before="600" w:after="200"/>
        <w:pBdr>
          <w:bottom w:val="single" w:sz="4" w:space="4" w:color="DDD9D0"/>
        </w:pBdr>
      </w:pPr>
      <w:r>
        <w:rPr>
          <w:rFonts w:ascii="Consolas" w:hAnsi="Consolas"/>
          <w:b/>
          <w:i w:val="0"/>
          <w:color w:val="3B4F9E"/>
          <w:sz w:val="30"/>
        </w:rPr>
        <w:t xml:space="preserve">8   </w:t>
      </w:r>
      <w:r>
        <w:rPr>
          <w:rFonts w:ascii="Iowan Old Style" w:hAnsi="Iowan Old Style"/>
          <w:b/>
          <w:i w:val="0"/>
          <w:color w:val="1B1B19"/>
          <w:sz w:val="36"/>
        </w:rPr>
        <w:t>Diagnostic table</w:t>
      </w:r>
    </w:p>
    <w:p>
      <w:pPr>
        <w:spacing w:before="0" w:after="200"/>
      </w:pPr>
      <w:r>
        <w:rPr>
          <w:rFonts w:ascii="Iowan Old Style" w:hAnsi="Iowan Old Style"/>
          <w:b w:val="0"/>
          <w:i w:val="0"/>
          <w:color w:val="4A4A46"/>
          <w:sz w:val="22"/>
        </w:rPr>
        <w:t>What to reach for, keyed to what a first pass actually shows:</w:t>
      </w:r>
    </w:p>
    <w:tbl>
      <w:tblPr>
        <w:tblW w:type="auto" w:w="0"/>
        <w:jc w:val="center"/>
        <w:tblLayout w:type="fixed"/>
        <w:tblLook w:firstColumn="1" w:firstRow="1" w:lastColumn="0" w:lastRow="0" w:noHBand="0" w:noVBand="1" w:val="04A0"/>
        <w:tblBorders>
          <w:top w:val="single" w:sz="4" w:space="0" w:color="DDD9D0"/>
          <w:left w:val="single" w:sz="4" w:space="0" w:color="DDD9D0"/>
          <w:bottom w:val="single" w:sz="4" w:space="0" w:color="DDD9D0"/>
          <w:right w:val="single" w:sz="4" w:space="0" w:color="DDD9D0"/>
          <w:insideH w:val="single" w:sz="4" w:space="0" w:color="DDD9D0"/>
          <w:insideV w:val="single" w:sz="4" w:space="0" w:color="DDD9D0"/>
        </w:tblBorders>
      </w:tblPr>
      <w:tblGrid>
        <w:gridCol w:w="2976"/>
        <w:gridCol w:w="2976"/>
        <w:gridCol w:w="2976"/>
      </w:tblGrid>
      <w:tr>
        <w:trPr>
          <w:cantSplit/>
        </w:trPr>
        <w:tc>
          <w:tcPr>
            <w:tcW w:type="dxa" w:w="2736"/>
            <w:shd w:val="clear" w:color="auto" w:fill="3B4F9E"/>
            <w:tcMar>
              <w:top w:w="100" w:type="dxa"/>
              <w:bottom w:w="100" w:type="dxa"/>
              <w:left w:w="140" w:type="dxa"/>
              <w:right w:w="140" w:type="dxa"/>
            </w:tcMar>
          </w:tcPr>
          <w:p>
            <w:r>
              <w:rPr>
                <w:rFonts w:ascii="Calibri" w:hAnsi="Calibri"/>
                <w:b/>
                <w:i w:val="0"/>
                <w:color w:val="FFFFFF"/>
                <w:sz w:val="18"/>
              </w:rPr>
              <w:t>Symptom</w:t>
            </w:r>
          </w:p>
        </w:tc>
        <w:tc>
          <w:tcPr>
            <w:tcW w:type="dxa" w:w="3024"/>
            <w:shd w:val="clear" w:color="auto" w:fill="3B4F9E"/>
            <w:tcMar>
              <w:top w:w="100" w:type="dxa"/>
              <w:bottom w:w="100" w:type="dxa"/>
              <w:left w:w="140" w:type="dxa"/>
              <w:right w:w="140" w:type="dxa"/>
            </w:tcMar>
          </w:tcPr>
          <w:p>
            <w:r>
              <w:rPr>
                <w:rFonts w:ascii="Calibri" w:hAnsi="Calibri"/>
                <w:b/>
                <w:i w:val="0"/>
                <w:color w:val="FFFFFF"/>
                <w:sz w:val="18"/>
              </w:rPr>
              <w:t>Likely cause</w:t>
            </w:r>
          </w:p>
        </w:tc>
        <w:tc>
          <w:tcPr>
            <w:tcW w:type="dxa" w:w="3168"/>
            <w:shd w:val="clear" w:color="auto" w:fill="3B4F9E"/>
            <w:tcMar>
              <w:top w:w="100" w:type="dxa"/>
              <w:bottom w:w="100" w:type="dxa"/>
              <w:left w:w="140" w:type="dxa"/>
              <w:right w:w="140" w:type="dxa"/>
            </w:tcMar>
          </w:tcPr>
          <w:p>
            <w:r>
              <w:rPr>
                <w:rFonts w:ascii="Calibri" w:hAnsi="Calibri"/>
                <w:b/>
                <w:i w:val="0"/>
                <w:color w:val="FFFFFF"/>
                <w:sz w:val="18"/>
              </w:rPr>
              <w:t>Try</w:t>
            </w:r>
          </w:p>
        </w:tc>
      </w:tr>
      <w:tr>
        <w:trPr>
          <w:cantSplit/>
        </w:trPr>
        <w:tc>
          <w:tcPr>
            <w:tcW w:type="dxa" w:w="273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Known duplicate not reported at all</w:t>
            </w:r>
          </w:p>
        </w:tc>
        <w:tc>
          <w:tcPr>
            <w:tcW w:type="dxa" w:w="3024"/>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Threshold longer than the duplicated block</w:t>
            </w:r>
          </w:p>
        </w:tc>
        <w:tc>
          <w:tcPr>
            <w:tcW w:type="dxa" w:w="3168"/>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 xml:space="preserve">Lower </w:t>
            </w:r>
            <w:r>
              <w:rPr>
                <w:rFonts w:ascii="Consolas" w:hAnsi="Consolas"/>
                <w:b w:val="0"/>
                <w:i w:val="0"/>
                <w:color w:val="2A2A26"/>
                <w:sz w:val="18"/>
              </w:rPr>
              <w:t>-threshold</w:t>
            </w:r>
            <w:r>
              <w:rPr>
                <w:rFonts w:ascii="Iowan Old Style" w:hAnsi="Iowan Old Style"/>
                <w:b w:val="0"/>
                <w:i w:val="0"/>
                <w:color w:val="4A4A46"/>
                <w:sz w:val="18"/>
              </w:rPr>
              <w:t xml:space="preserve"> in small steps</w:t>
            </w:r>
          </w:p>
        </w:tc>
      </w:tr>
      <w:tr>
        <w:trPr>
          <w:cantSplit/>
        </w:trPr>
        <w:tc>
          <w:tcPr>
            <w:tcW w:type="dxa" w:w="273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Known duplicate not reported, same length as similar reported blocks</w:t>
            </w:r>
          </w:p>
        </w:tc>
        <w:tc>
          <w:tcPr>
            <w:tcW w:type="dxa" w:w="3024"/>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A cosmetic difference (name, type, literal) the current options do not erase</w:t>
            </w:r>
          </w:p>
        </w:tc>
        <w:tc>
          <w:tcPr>
            <w:tcW w:type="dxa" w:w="3168"/>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Add the single narrowest matching option (section 7)</w:t>
            </w:r>
          </w:p>
        </w:tc>
      </w:tr>
      <w:tr>
        <w:trPr>
          <w:cantSplit/>
        </w:trPr>
        <w:tc>
          <w:tcPr>
            <w:tcW w:type="dxa" w:w="273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Two unrelated short methods match (getters, simple delegators)</w:t>
            </w:r>
          </w:p>
        </w:tc>
        <w:tc>
          <w:tcPr>
            <w:tcW w:type="dxa" w:w="3024"/>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An identifier option broad enough to erase the one thing that made them different</w:t>
            </w:r>
          </w:p>
        </w:tc>
        <w:tc>
          <w:tcPr>
            <w:tcW w:type="dxa" w:w="3168"/>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 xml:space="preserve">Narrow the option, or raise </w:t>
            </w:r>
            <w:r>
              <w:rPr>
                <w:rFonts w:ascii="Consolas" w:hAnsi="Consolas"/>
                <w:b w:val="0"/>
                <w:i w:val="0"/>
                <w:color w:val="2A2A26"/>
                <w:sz w:val="18"/>
              </w:rPr>
              <w:t>-threshold</w:t>
            </w:r>
            <w:r>
              <w:rPr>
                <w:rFonts w:ascii="Iowan Old Style" w:hAnsi="Iowan Old Style"/>
                <w:b w:val="0"/>
                <w:i w:val="0"/>
                <w:color w:val="4A4A46"/>
                <w:sz w:val="18"/>
              </w:rPr>
              <w:t xml:space="preserve"> past their length</w:t>
            </w:r>
          </w:p>
        </w:tc>
      </w:tr>
      <w:tr>
        <w:trPr>
          <w:cantSplit/>
        </w:trPr>
        <w:tc>
          <w:tcPr>
            <w:tcW w:type="dxa" w:w="273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Matches span two unrelated functions in one file</w:t>
            </w:r>
          </w:p>
        </w:tc>
        <w:tc>
          <w:tcPr>
            <w:tcW w:type="dxa" w:w="3024"/>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Threshold, or the language's lack of block-boundary awareness</w:t>
            </w:r>
          </w:p>
        </w:tc>
        <w:tc>
          <w:tcPr>
            <w:tcW w:type="dxa" w:w="3168"/>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 xml:space="preserve">Usually not fixable by tuning; inspect with </w:t>
            </w:r>
            <w:r>
              <w:rPr>
                <w:rFonts w:ascii="Consolas" w:hAnsi="Consolas"/>
                <w:b w:val="0"/>
                <w:i w:val="0"/>
                <w:color w:val="2A2A26"/>
                <w:sz w:val="18"/>
              </w:rPr>
              <w:t>-reportDuplicateText</w:t>
            </w:r>
            <w:r>
              <w:rPr>
                <w:rFonts w:ascii="Iowan Old Style" w:hAnsi="Iowan Old Style"/>
                <w:b w:val="0"/>
                <w:i w:val="0"/>
                <w:color w:val="4A4A46"/>
                <w:sz w:val="18"/>
              </w:rPr>
              <w:t xml:space="preserve"> and judge case by case</w:t>
            </w:r>
          </w:p>
        </w:tc>
      </w:tr>
      <w:tr>
        <w:trPr>
          <w:cantSplit/>
        </w:trPr>
        <w:tc>
          <w:tcPr>
            <w:tcW w:type="dxa" w:w="273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Duplicate count balloons after enabling one option</w:t>
            </w:r>
          </w:p>
        </w:tc>
        <w:tc>
          <w:tcPr>
            <w:tcW w:type="dxa" w:w="3024"/>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That option just erased a distinction that was carrying real information (often case, or a type)</w:t>
            </w:r>
          </w:p>
        </w:tc>
        <w:tc>
          <w:tcPr>
            <w:tcW w:type="dxa" w:w="3168"/>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Re-run without it to confirm, then decide if the collapsed distinction actually matters</w:t>
            </w:r>
          </w:p>
        </w:tc>
      </w:tr>
      <w:tr>
        <w:trPr>
          <w:cantSplit/>
        </w:trPr>
        <w:tc>
          <w:tcPr>
            <w:tcW w:type="dxa" w:w="273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Everything matches everything in generated or vendored files</w:t>
            </w:r>
          </w:p>
        </w:tc>
        <w:tc>
          <w:tcPr>
            <w:tcW w:type="dxa" w:w="3024"/>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Step zero was skipped</w:t>
            </w:r>
          </w:p>
        </w:tc>
        <w:tc>
          <w:tcPr>
            <w:tcW w:type="dxa" w:w="3168"/>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Exclude the directory; do not tune options to compensate</w:t>
            </w:r>
          </w:p>
        </w:tc>
      </w:tr>
    </w:tbl>
    <w:p>
      <w:pPr>
        <w:spacing w:after="80"/>
      </w:pPr>
    </w:p>
    <w:p>
      <w:pPr>
        <w:keepNext/>
        <w:spacing w:before="600" w:after="200"/>
        <w:pBdr>
          <w:bottom w:val="single" w:sz="4" w:space="4" w:color="DDD9D0"/>
        </w:pBdr>
      </w:pPr>
      <w:r>
        <w:rPr>
          <w:rFonts w:ascii="Consolas" w:hAnsi="Consolas"/>
          <w:b/>
          <w:i w:val="0"/>
          <w:color w:val="3B4F9E"/>
          <w:sz w:val="30"/>
        </w:rPr>
        <w:t xml:space="preserve">9   </w:t>
      </w:r>
      <w:r>
        <w:rPr>
          <w:rFonts w:ascii="Iowan Old Style" w:hAnsi="Iowan Old Style"/>
          <w:b/>
          <w:i w:val="0"/>
          <w:color w:val="1B1B19"/>
          <w:sz w:val="36"/>
        </w:rPr>
        <w:t>Validating without ground truth</w:t>
      </w:r>
    </w:p>
    <w:p>
      <w:pPr>
        <w:spacing w:before="0" w:after="200"/>
      </w:pPr>
      <w:r>
        <w:rPr>
          <w:rFonts w:ascii="Iowan Old Style" w:hAnsi="Iowan Old Style"/>
          <w:b w:val="0"/>
          <w:i w:val="0"/>
          <w:color w:val="4A4A46"/>
          <w:sz w:val="22"/>
        </w:rPr>
        <w:t>Most real codebases do not come with a labeled list of "these blocks are duplicates, these are not," so validating a configuration means manufacturing a small amount of ground truth on purpose:</w:t>
      </w:r>
    </w:p>
    <w:p>
      <w:pPr>
        <w:pStyle w:val="ListBullet"/>
        <w:spacing w:after="120"/>
        <w:ind w:left="403"/>
      </w:pPr>
      <w:r>
        <w:rPr>
          <w:rFonts w:ascii="Iowan Old Style" w:hAnsi="Iowan Old Style"/>
          <w:b/>
          <w:i w:val="0"/>
          <w:color w:val="1B1B19"/>
          <w:sz w:val="22"/>
        </w:rPr>
        <w:t>Seed a known duplicate.</w:t>
      </w:r>
      <w:r>
        <w:rPr>
          <w:rFonts w:ascii="Iowan Old Style" w:hAnsi="Iowan Old Style"/>
          <w:b w:val="0"/>
          <w:i w:val="0"/>
          <w:color w:val="4A4A46"/>
          <w:sz w:val="22"/>
        </w:rPr>
        <w:t xml:space="preserve"> Copy a real block you know should be flagged (or use one already fixed by a past refactor, reverted locally) and confirm the candidate configuration still reports it. This is a regression test for the configuration itself, and it is worth keeping alongside the configuration for the next time thresholds change.</w:t>
      </w:r>
    </w:p>
    <w:p>
      <w:pPr>
        <w:pStyle w:val="ListBullet"/>
        <w:spacing w:after="120"/>
        <w:ind w:left="403"/>
      </w:pPr>
      <w:r>
        <w:rPr>
          <w:rFonts w:ascii="Iowan Old Style" w:hAnsi="Iowan Old Style"/>
          <w:b/>
          <w:i w:val="0"/>
          <w:color w:val="1B1B19"/>
          <w:sz w:val="22"/>
        </w:rPr>
        <w:t>Spot-check a sample of real matches.</w:t>
      </w:r>
      <w:r>
        <w:rPr>
          <w:rFonts w:ascii="Iowan Old Style" w:hAnsi="Iowan Old Style"/>
          <w:b w:val="0"/>
          <w:i w:val="0"/>
          <w:color w:val="4A4A46"/>
          <w:sz w:val="22"/>
        </w:rPr>
        <w:t xml:space="preserve"> Read the actual text of five or ten reported blocks with </w:t>
      </w:r>
      <w:r>
        <w:rPr>
          <w:rFonts w:ascii="Consolas" w:hAnsi="Consolas"/>
          <w:b w:val="0"/>
          <w:i w:val="0"/>
          <w:color w:val="2A2A26"/>
          <w:sz w:val="22"/>
        </w:rPr>
        <w:t>-reportDuplicateText</w:t>
      </w:r>
      <w:r>
        <w:rPr>
          <w:rFonts w:ascii="Iowan Old Style" w:hAnsi="Iowan Old Style"/>
          <w:b w:val="0"/>
          <w:i w:val="0"/>
          <w:color w:val="4A4A46"/>
          <w:sz w:val="22"/>
        </w:rPr>
        <w:t>, not just the summary counts. A configuration that "finds 400 duplicate blocks" says nothing about quality until a human has read a sample of them.</w:t>
      </w:r>
    </w:p>
    <w:p>
      <w:pPr>
        <w:pStyle w:val="ListBullet"/>
        <w:spacing w:after="120"/>
        <w:ind w:left="403"/>
      </w:pPr>
      <w:r>
        <w:rPr>
          <w:rFonts w:ascii="Iowan Old Style" w:hAnsi="Iowan Old Style"/>
          <w:b/>
          <w:i w:val="0"/>
          <w:color w:val="1B1B19"/>
          <w:sz w:val="22"/>
        </w:rPr>
        <w:t>Watch the count when you change one thing.</w:t>
      </w:r>
      <w:r>
        <w:rPr>
          <w:rFonts w:ascii="Iowan Old Style" w:hAnsi="Iowan Old Style"/>
          <w:b w:val="0"/>
          <w:i w:val="0"/>
          <w:color w:val="4A4A46"/>
          <w:sz w:val="22"/>
        </w:rPr>
        <w:t xml:space="preserve"> A large jump in matches after enabling a single option is itself a signal, worth treating as "too many" in the workflow of section 5 until proven otherwise by reading the new matches.</w:t>
      </w:r>
    </w:p>
    <w:p>
      <w:pPr>
        <w:pStyle w:val="ListBullet"/>
        <w:spacing w:after="120"/>
        <w:ind w:left="403"/>
      </w:pPr>
      <w:r>
        <w:rPr>
          <w:rFonts w:ascii="Iowan Old Style" w:hAnsi="Iowan Old Style"/>
          <w:b/>
          <w:i w:val="0"/>
          <w:color w:val="1B1B19"/>
          <w:sz w:val="22"/>
        </w:rPr>
        <w:t>Re-validate after the codebase changes shape.</w:t>
      </w:r>
      <w:r>
        <w:rPr>
          <w:rFonts w:ascii="Iowan Old Style" w:hAnsi="Iowan Old Style"/>
          <w:b w:val="0"/>
          <w:i w:val="0"/>
          <w:color w:val="4A4A46"/>
          <w:sz w:val="22"/>
        </w:rPr>
        <w:t xml:space="preserve"> A configuration tuned against today's mix of hand-written and generated code can start reporting differently once a new generated module, or a new boilerplate-heavy layer, is added. Section 3's advice is a function of the source, and the source moves.</w:t>
      </w:r>
    </w:p>
    <w:p>
      <w:pPr>
        <w:keepNext/>
        <w:spacing w:before="600" w:after="200"/>
        <w:pBdr>
          <w:bottom w:val="single" w:sz="4" w:space="4" w:color="DDD9D0"/>
        </w:pBdr>
      </w:pPr>
      <w:r>
        <w:rPr>
          <w:rFonts w:ascii="Consolas" w:hAnsi="Consolas"/>
          <w:b/>
          <w:i w:val="0"/>
          <w:color w:val="3B4F9E"/>
          <w:sz w:val="30"/>
        </w:rPr>
        <w:t xml:space="preserve">10   </w:t>
      </w:r>
      <w:r>
        <w:rPr>
          <w:rFonts w:ascii="Iowan Old Style" w:hAnsi="Iowan Old Style"/>
          <w:b/>
          <w:i w:val="0"/>
          <w:color w:val="1B1B19"/>
          <w:sz w:val="36"/>
        </w:rPr>
        <w:t>Starting points by language</w:t>
      </w:r>
    </w:p>
    <w:p>
      <w:pPr>
        <w:spacing w:before="0" w:after="200"/>
      </w:pPr>
      <w:r>
        <w:rPr>
          <w:rFonts w:ascii="Iowan Old Style" w:hAnsi="Iowan Old Style"/>
          <w:b w:val="0"/>
          <w:i w:val="0"/>
          <w:color w:val="4A4A46"/>
          <w:sz w:val="22"/>
        </w:rPr>
        <w:t>Reasonable first-pass settings, drawing on the language-specific wiring documented in the two companion reports. These are starting points for step 1 of the workflow, not destinations.</w:t>
      </w:r>
    </w:p>
    <w:tbl>
      <w:tblPr>
        <w:tblW w:type="auto" w:w="0"/>
        <w:jc w:val="center"/>
        <w:tblLayout w:type="fixed"/>
        <w:tblLook w:firstColumn="1" w:firstRow="1" w:lastColumn="0" w:lastRow="0" w:noHBand="0" w:noVBand="1" w:val="04A0"/>
        <w:tblBorders>
          <w:top w:val="single" w:sz="4" w:space="0" w:color="DDD9D0"/>
          <w:left w:val="single" w:sz="4" w:space="0" w:color="DDD9D0"/>
          <w:bottom w:val="single" w:sz="4" w:space="0" w:color="DDD9D0"/>
          <w:right w:val="single" w:sz="4" w:space="0" w:color="DDD9D0"/>
          <w:insideH w:val="single" w:sz="4" w:space="0" w:color="DDD9D0"/>
          <w:insideV w:val="single" w:sz="4" w:space="0" w:color="DDD9D0"/>
        </w:tblBorders>
      </w:tblPr>
      <w:tblGrid>
        <w:gridCol w:w="2976"/>
        <w:gridCol w:w="2976"/>
        <w:gridCol w:w="2976"/>
      </w:tblGrid>
      <w:tr>
        <w:trPr>
          <w:cantSplit/>
        </w:trPr>
        <w:tc>
          <w:tcPr>
            <w:tcW w:type="dxa" w:w="2016"/>
            <w:shd w:val="clear" w:color="auto" w:fill="3B4F9E"/>
            <w:tcMar>
              <w:top w:w="100" w:type="dxa"/>
              <w:bottom w:w="100" w:type="dxa"/>
              <w:left w:w="140" w:type="dxa"/>
              <w:right w:w="140" w:type="dxa"/>
            </w:tcMar>
          </w:tcPr>
          <w:p>
            <w:r>
              <w:rPr>
                <w:rFonts w:ascii="Calibri" w:hAnsi="Calibri"/>
                <w:b/>
                <w:i w:val="0"/>
                <w:color w:val="FFFFFF"/>
                <w:sz w:val="18"/>
              </w:rPr>
              <w:t>Language</w:t>
            </w:r>
          </w:p>
        </w:tc>
        <w:tc>
          <w:tcPr>
            <w:tcW w:type="dxa" w:w="4320"/>
            <w:shd w:val="clear" w:color="auto" w:fill="3B4F9E"/>
            <w:tcMar>
              <w:top w:w="100" w:type="dxa"/>
              <w:bottom w:w="100" w:type="dxa"/>
              <w:left w:w="140" w:type="dxa"/>
              <w:right w:w="140" w:type="dxa"/>
            </w:tcMar>
          </w:tcPr>
          <w:p>
            <w:r>
              <w:rPr>
                <w:rFonts w:ascii="Calibri" w:hAnsi="Calibri"/>
                <w:b/>
                <w:i w:val="0"/>
                <w:color w:val="FFFFFF"/>
                <w:sz w:val="18"/>
              </w:rPr>
              <w:t>Start with</w:t>
            </w:r>
          </w:p>
        </w:tc>
        <w:tc>
          <w:tcPr>
            <w:tcW w:type="dxa" w:w="2592"/>
            <w:shd w:val="clear" w:color="auto" w:fill="3B4F9E"/>
            <w:tcMar>
              <w:top w:w="100" w:type="dxa"/>
              <w:bottom w:w="100" w:type="dxa"/>
              <w:left w:w="140" w:type="dxa"/>
              <w:right w:w="140" w:type="dxa"/>
            </w:tcMar>
          </w:tcPr>
          <w:p>
            <w:r>
              <w:rPr>
                <w:rFonts w:ascii="Calibri" w:hAnsi="Calibri"/>
                <w:b/>
                <w:i w:val="0"/>
                <w:color w:val="FFFFFF"/>
                <w:sz w:val="18"/>
              </w:rPr>
              <w:t>Watch for</w:t>
            </w:r>
          </w:p>
        </w:tc>
      </w:tr>
      <w:tr>
        <w:trPr>
          <w:cantSplit/>
        </w:trPr>
        <w:tc>
          <w:tcPr>
            <w:tcW w:type="dxa" w:w="201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Java, C#, C++</w:t>
            </w:r>
          </w:p>
        </w:tc>
        <w:tc>
          <w:tcPr>
            <w:tcW w:type="dxa" w:w="4320"/>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 xml:space="preserve">defaults, then </w:t>
            </w:r>
            <w:r>
              <w:rPr>
                <w:rFonts w:ascii="Consolas" w:hAnsi="Consolas"/>
                <w:b w:val="0"/>
                <w:i w:val="0"/>
                <w:color w:val="2A2A26"/>
                <w:sz w:val="18"/>
              </w:rPr>
              <w:t>-ignoreVariableNames</w:t>
            </w:r>
            <w:r>
              <w:rPr>
                <w:rFonts w:ascii="Iowan Old Style" w:hAnsi="Iowan Old Style"/>
                <w:b w:val="0"/>
                <w:i w:val="0"/>
                <w:color w:val="4A4A46"/>
                <w:sz w:val="18"/>
              </w:rPr>
              <w:t xml:space="preserve"> before </w:t>
            </w:r>
            <w:r>
              <w:rPr>
                <w:rFonts w:ascii="Consolas" w:hAnsi="Consolas"/>
                <w:b w:val="0"/>
                <w:i w:val="0"/>
                <w:color w:val="2A2A26"/>
                <w:sz w:val="18"/>
              </w:rPr>
              <w:t>-ignoreIdentifiers</w:t>
            </w:r>
          </w:p>
        </w:tc>
        <w:tc>
          <w:tcPr>
            <w:tcW w:type="dxa" w:w="2592"/>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getter/setter/constructor boilerplate (section 6)</w:t>
            </w:r>
          </w:p>
        </w:tc>
      </w:tr>
      <w:tr>
        <w:trPr>
          <w:cantSplit/>
        </w:trPr>
        <w:tc>
          <w:tcPr>
            <w:tcW w:type="dxa" w:w="201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Go</w:t>
            </w:r>
          </w:p>
        </w:tc>
        <w:tc>
          <w:tcPr>
            <w:tcW w:type="dxa" w:w="4320"/>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 xml:space="preserve">defaults; add </w:t>
            </w:r>
            <w:r>
              <w:rPr>
                <w:rFonts w:ascii="Consolas" w:hAnsi="Consolas"/>
                <w:b w:val="0"/>
                <w:i w:val="0"/>
                <w:color w:val="2A2A26"/>
                <w:sz w:val="18"/>
              </w:rPr>
              <w:t>-ignoreStrings</w:t>
            </w:r>
            <w:r>
              <w:rPr>
                <w:rFonts w:ascii="Iowan Old Style" w:hAnsi="Iowan Old Style"/>
                <w:b w:val="0"/>
                <w:i w:val="0"/>
                <w:color w:val="4A4A46"/>
                <w:sz w:val="18"/>
              </w:rPr>
              <w:t xml:space="preserve"> only if raw-string content varies incidentally</w:t>
            </w:r>
          </w:p>
        </w:tc>
        <w:tc>
          <w:tcPr>
            <w:tcW w:type="dxa" w:w="2592"/>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the go keyword is deliberately excluded from modifier-stripping</w:t>
            </w:r>
          </w:p>
        </w:tc>
      </w:tr>
      <w:tr>
        <w:trPr>
          <w:cantSplit/>
        </w:trPr>
        <w:tc>
          <w:tcPr>
            <w:tcW w:type="dxa" w:w="201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TypeScript</w:t>
            </w:r>
          </w:p>
        </w:tc>
        <w:tc>
          <w:tcPr>
            <w:tcW w:type="dxa" w:w="4320"/>
            <w:shd w:val="clear" w:color="auto" w:fill="FBFAF7"/>
            <w:tcMar>
              <w:top w:w="100" w:type="dxa"/>
              <w:bottom w:w="100" w:type="dxa"/>
              <w:left w:w="140" w:type="dxa"/>
              <w:right w:w="140" w:type="dxa"/>
            </w:tcMar>
          </w:tcPr>
          <w:p>
            <w:pPr>
              <w:spacing w:after="0"/>
            </w:pPr>
            <w:r>
              <w:rPr>
                <w:rFonts w:ascii="Consolas" w:hAnsi="Consolas"/>
                <w:b w:val="0"/>
                <w:i w:val="0"/>
                <w:color w:val="2A2A26"/>
                <w:sz w:val="18"/>
              </w:rPr>
              <w:t>-ignoreTypeAnnotations</w:t>
            </w:r>
            <w:r>
              <w:rPr>
                <w:rFonts w:ascii="Iowan Old Style" w:hAnsi="Iowan Old Style"/>
                <w:b w:val="0"/>
                <w:i w:val="0"/>
                <w:color w:val="4A4A46"/>
                <w:sz w:val="18"/>
              </w:rPr>
              <w:t xml:space="preserve"> early; it targets a cosmetic difference this language produces constantly</w:t>
            </w:r>
          </w:p>
        </w:tc>
        <w:tc>
          <w:tcPr>
            <w:tcW w:type="dxa" w:w="2592"/>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 xml:space="preserve">the ternary/tuple ambiguity noted in the companion </w:t>
            </w:r>
            <w:r>
              <w:rPr>
                <w:rFonts w:ascii="Consolas" w:hAnsi="Consolas"/>
                <w:b w:val="0"/>
                <w:i w:val="0"/>
                <w:color w:val="2A2A26"/>
                <w:sz w:val="18"/>
              </w:rPr>
              <w:t>TokenVisitor</w:t>
            </w:r>
            <w:r>
              <w:rPr>
                <w:rFonts w:ascii="Iowan Old Style" w:hAnsi="Iowan Old Style"/>
                <w:b w:val="0"/>
                <w:i w:val="0"/>
                <w:color w:val="4A4A46"/>
                <w:sz w:val="18"/>
              </w:rPr>
              <w:t xml:space="preserve"> report</w:t>
            </w:r>
          </w:p>
        </w:tc>
      </w:tr>
      <w:tr>
        <w:trPr>
          <w:cantSplit/>
        </w:trPr>
        <w:tc>
          <w:tcPr>
            <w:tcW w:type="dxa" w:w="201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Python</w:t>
            </w:r>
          </w:p>
        </w:tc>
        <w:tc>
          <w:tcPr>
            <w:tcW w:type="dxa" w:w="4320"/>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defaults are usually closer to right than expected, since string-prefix and triple-quote handling already ship on</w:t>
            </w:r>
          </w:p>
        </w:tc>
        <w:tc>
          <w:tcPr>
            <w:tcW w:type="dxa" w:w="2592"/>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short, deeply nested helpers sitting near the threshold boundary</w:t>
            </w:r>
          </w:p>
        </w:tc>
      </w:tr>
      <w:tr>
        <w:trPr>
          <w:cantSplit/>
        </w:trPr>
        <w:tc>
          <w:tcPr>
            <w:tcW w:type="dxa" w:w="201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Any language, test directories</w:t>
            </w:r>
          </w:p>
        </w:tc>
        <w:tc>
          <w:tcPr>
            <w:tcW w:type="dxa" w:w="4320"/>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a separate, higher threshold than production code</w:t>
            </w:r>
          </w:p>
        </w:tc>
        <w:tc>
          <w:tcPr>
            <w:tcW w:type="dxa" w:w="2592"/>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table-driven tests are repetitive by design, not by accident</w:t>
            </w:r>
          </w:p>
        </w:tc>
      </w:tr>
    </w:tbl>
    <w:p>
      <w:pPr>
        <w:spacing w:after="80"/>
      </w:pPr>
    </w:p>
    <w:p>
      <w:pPr>
        <w:keepNext/>
        <w:spacing w:before="600" w:after="200"/>
        <w:pBdr>
          <w:bottom w:val="single" w:sz="4" w:space="4" w:color="DDD9D0"/>
        </w:pBdr>
      </w:pPr>
      <w:r>
        <w:rPr>
          <w:rFonts w:ascii="Consolas" w:hAnsi="Consolas"/>
          <w:b/>
          <w:i w:val="0"/>
          <w:color w:val="3B4F9E"/>
          <w:sz w:val="30"/>
        </w:rPr>
        <w:t xml:space="preserve">11   </w:t>
      </w:r>
      <w:r>
        <w:rPr>
          <w:rFonts w:ascii="Iowan Old Style" w:hAnsi="Iowan Old Style"/>
          <w:b/>
          <w:i w:val="0"/>
          <w:color w:val="1B1B19"/>
          <w:sz w:val="36"/>
        </w:rPr>
        <w:t>Conclusion</w:t>
      </w:r>
    </w:p>
    <w:p>
      <w:pPr>
        <w:spacing w:before="0" w:after="200"/>
      </w:pPr>
      <w:r>
        <w:rPr>
          <w:rFonts w:ascii="Iowan Old Style" w:hAnsi="Iowan Old Style"/>
          <w:b w:val="0"/>
          <w:i w:val="0"/>
          <w:color w:val="4A4A46"/>
          <w:sz w:val="22"/>
        </w:rPr>
        <w:t xml:space="preserve">Tuning Simian well is not a single choice of numbers but a short, repeatable loop: run, read the actual matched text, change exactly one lever in the direction the evidence points, and re-run. Threshold and the </w:t>
      </w:r>
      <w:r>
        <w:rPr>
          <w:rFonts w:ascii="Consolas" w:hAnsi="Consolas"/>
          <w:b w:val="0"/>
          <w:i w:val="0"/>
          <w:color w:val="2A2A26"/>
          <w:sz w:val="22"/>
        </w:rPr>
        <w:t>TokenVisitor</w:t>
      </w:r>
      <w:r>
        <w:rPr>
          <w:rFonts w:ascii="Iowan Old Style" w:hAnsi="Iowan Old Style"/>
          <w:b w:val="0"/>
          <w:i w:val="0"/>
          <w:color w:val="4A4A46"/>
          <w:sz w:val="22"/>
        </w:rPr>
        <w:t xml:space="preserve"> options are answering two different questions, how long a match must be and what counts as the same, and both have to be right together, as the worked example's safe corridor shows directly. The one habit that generalizes past any single codebase is the discipline of section 7: reach for the narrowest option that explains the difference you can actually see in the source, and only widen it when the narrow one demonstrably fails, because the broad options do not just catch more duplicates, they also stop distinguishing between duplication and convention.</w:t>
      </w:r>
    </w:p>
    <w:p>
      <w:pPr>
        <w:keepNext/>
        <w:spacing w:before="600" w:after="200"/>
        <w:pBdr>
          <w:bottom w:val="single" w:sz="4" w:space="4" w:color="DDD9D0"/>
        </w:pBdr>
      </w:pPr>
      <w:r>
        <w:rPr>
          <w:rFonts w:ascii="Consolas" w:hAnsi="Consolas"/>
          <w:b/>
          <w:i w:val="0"/>
          <w:color w:val="3B4F9E"/>
          <w:sz w:val="30"/>
        </w:rPr>
        <w:t xml:space="preserve">A   </w:t>
      </w:r>
      <w:r>
        <w:rPr>
          <w:rFonts w:ascii="Iowan Old Style" w:hAnsi="Iowan Old Style"/>
          <w:b/>
          <w:i w:val="0"/>
          <w:color w:val="1B1B19"/>
          <w:sz w:val="36"/>
        </w:rPr>
        <w:t>Appendix: reproducing the example</w:t>
      </w:r>
    </w:p>
    <w:p>
      <w:pPr>
        <w:spacing w:before="0" w:after="200"/>
      </w:pPr>
      <w:r>
        <w:rPr>
          <w:rFonts w:ascii="Iowan Old Style" w:hAnsi="Iowan Old Style"/>
          <w:b w:val="0"/>
          <w:i w:val="0"/>
          <w:color w:val="4A4A46"/>
          <w:sz w:val="22"/>
        </w:rPr>
        <w:t xml:space="preserve">All six runs in section 6 are real output from the jar built in this repository, against the exact </w:t>
      </w:r>
      <w:r>
        <w:rPr>
          <w:rFonts w:ascii="Consolas" w:hAnsi="Consolas"/>
          <w:b w:val="0"/>
          <w:i w:val="0"/>
          <w:color w:val="2A2A26"/>
          <w:sz w:val="22"/>
        </w:rPr>
        <w:t>Ledger.java</w:t>
      </w:r>
      <w:r>
        <w:rPr>
          <w:rFonts w:ascii="Iowan Old Style" w:hAnsi="Iowan Old Style"/>
          <w:b w:val="0"/>
          <w:i w:val="0"/>
          <w:color w:val="4A4A46"/>
          <w:sz w:val="22"/>
        </w:rPr>
        <w:t xml:space="preserve"> shown there: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928"/>
      </w:tblGrid>
      <w:tr>
        <w:trPr>
          <w:cantSplit/>
        </w:trPr>
        <w:tc>
          <w:tcPr>
            <w:tcW w:type="dxa" w:w="8928"/>
            <w:shd w:val="clear" w:color="auto" w:fill="EAE7DD"/>
            <w:tcMar>
              <w:top w:w="160" w:type="dxa"/>
              <w:bottom w:w="160" w:type="dxa"/>
              <w:left w:w="220" w:type="dxa"/>
              <w:right w:w="220" w:type="dxa"/>
            </w:tcMar>
          </w:tcPr>
          <w:p>
            <w:pPr>
              <w:spacing w:after="0" w:line="307" w:lineRule="auto"/>
            </w:pPr>
            <w:r>
              <w:rPr>
                <w:rFonts w:ascii="Consolas" w:hAnsi="Consolas"/>
                <w:b w:val="0"/>
                <w:i w:val="0"/>
                <w:color w:val="2A2A26"/>
                <w:sz w:val="18"/>
              </w:rPr>
              <w:t>$ ./gradlew jar</w:t>
            </w:r>
          </w:p>
          <w:p>
            <w:pPr>
              <w:spacing w:after="0" w:line="307" w:lineRule="auto"/>
            </w:pPr>
            <w:r>
              <w:rPr>
                <w:rFonts w:ascii="Consolas" w:hAnsi="Consolas"/>
                <w:b w:val="0"/>
                <w:i w:val="0"/>
                <w:color w:val="2A2A26"/>
                <w:sz w:val="18"/>
              </w:rPr>
              <w:t>$ java -jar build/libs/simian-4.2.2.jar -threshold=6 Ledger.java</w:t>
            </w:r>
          </w:p>
          <w:p>
            <w:pPr>
              <w:spacing w:after="0" w:line="307" w:lineRule="auto"/>
            </w:pPr>
            <w:r>
              <w:rPr>
                <w:rFonts w:ascii="Consolas" w:hAnsi="Consolas"/>
                <w:b w:val="0"/>
                <w:i w:val="0"/>
                <w:color w:val="2A2A26"/>
                <w:sz w:val="18"/>
              </w:rPr>
              <w:t>Found 0 duplicate lines in 0 blocks in 0 files</w:t>
            </w:r>
          </w:p>
          <w:p>
            <w:pPr>
              <w:spacing w:after="0" w:line="307" w:lineRule="auto"/>
            </w:pPr>
            <w:r>
              <w:rPr>
                <w:rFonts w:ascii="Consolas" w:hAnsi="Consolas"/>
                <w:b w:val="0"/>
                <w:i w:val="0"/>
                <w:color w:val="2A2A26"/>
                <w:sz w:val="18"/>
              </w:rPr>
              <w:t xml:space="preserve"> </w:t>
            </w:r>
          </w:p>
          <w:p>
            <w:pPr>
              <w:spacing w:after="0" w:line="307" w:lineRule="auto"/>
            </w:pPr>
            <w:r>
              <w:rPr>
                <w:rFonts w:ascii="Consolas" w:hAnsi="Consolas"/>
                <w:b w:val="0"/>
                <w:i w:val="0"/>
                <w:color w:val="2A2A26"/>
                <w:sz w:val="18"/>
              </w:rPr>
              <w:t>$ java -jar build/libs/simian-4.2.2.jar -threshold=2 -ignoreIdentifiers+ \</w:t>
            </w:r>
          </w:p>
          <w:p>
            <w:pPr>
              <w:spacing w:after="0" w:line="307" w:lineRule="auto"/>
            </w:pPr>
            <w:r>
              <w:rPr>
                <w:rFonts w:ascii="Consolas" w:hAnsi="Consolas"/>
                <w:b w:val="0"/>
                <w:i w:val="0"/>
                <w:color w:val="2A2A26"/>
                <w:sz w:val="18"/>
              </w:rPr>
              <w:t xml:space="preserve">    -reportDuplicateText+ Ledger.java</w:t>
            </w:r>
          </w:p>
          <w:p>
            <w:pPr>
              <w:spacing w:after="0" w:line="307" w:lineRule="auto"/>
            </w:pPr>
            <w:r>
              <w:rPr>
                <w:rFonts w:ascii="Consolas" w:hAnsi="Consolas"/>
                <w:b w:val="0"/>
                <w:i w:val="0"/>
                <w:color w:val="2A2A26"/>
                <w:sz w:val="18"/>
              </w:rPr>
              <w:t>Found 2 duplicate lines with fingerprint 75d10468... (the two getters)</w:t>
            </w:r>
          </w:p>
          <w:p>
            <w:pPr>
              <w:spacing w:after="0" w:line="307" w:lineRule="auto"/>
            </w:pPr>
            <w:r>
              <w:rPr>
                <w:rFonts w:ascii="Consolas" w:hAnsi="Consolas"/>
                <w:b w:val="0"/>
                <w:i w:val="0"/>
                <w:color w:val="2A2A26"/>
                <w:sz w:val="18"/>
              </w:rPr>
              <w:t>Found 5 duplicate lines with fingerprint 45f414bf... (the real duplicate)</w:t>
            </w:r>
          </w:p>
          <w:p>
            <w:pPr>
              <w:spacing w:after="0" w:line="307" w:lineRule="auto"/>
            </w:pPr>
            <w:r>
              <w:rPr>
                <w:rFonts w:ascii="Consolas" w:hAnsi="Consolas"/>
                <w:b w:val="0"/>
                <w:i w:val="0"/>
                <w:color w:val="2A2A26"/>
                <w:sz w:val="18"/>
              </w:rPr>
              <w:t>Found 14 duplicate lines in 4 blocks in 1 files</w:t>
            </w:r>
          </w:p>
          <w:p>
            <w:pPr>
              <w:spacing w:after="0" w:line="307" w:lineRule="auto"/>
            </w:pPr>
            <w:r>
              <w:rPr>
                <w:rFonts w:ascii="Consolas" w:hAnsi="Consolas"/>
                <w:b w:val="0"/>
                <w:i w:val="0"/>
                <w:color w:val="2A2A26"/>
                <w:sz w:val="18"/>
              </w:rPr>
              <w:t xml:space="preserve"> </w:t>
            </w:r>
          </w:p>
          <w:p>
            <w:pPr>
              <w:spacing w:after="0" w:line="307" w:lineRule="auto"/>
            </w:pPr>
            <w:r>
              <w:rPr>
                <w:rFonts w:ascii="Consolas" w:hAnsi="Consolas"/>
                <w:b w:val="0"/>
                <w:i w:val="0"/>
                <w:color w:val="2A2A26"/>
                <w:sz w:val="18"/>
              </w:rPr>
              <w:t>$ java -jar build/libs/simian-4.2.2.jar -threshold=3 -ignoreVariableNames+ \</w:t>
            </w:r>
          </w:p>
          <w:p>
            <w:pPr>
              <w:spacing w:after="0" w:line="307" w:lineRule="auto"/>
            </w:pPr>
            <w:r>
              <w:rPr>
                <w:rFonts w:ascii="Consolas" w:hAnsi="Consolas"/>
                <w:b w:val="0"/>
                <w:i w:val="0"/>
                <w:color w:val="2A2A26"/>
                <w:sz w:val="18"/>
              </w:rPr>
              <w:t xml:space="preserve">    -reportDuplicateText+ Ledger.java</w:t>
            </w:r>
          </w:p>
          <w:p>
            <w:pPr>
              <w:spacing w:after="0" w:line="307" w:lineRule="auto"/>
            </w:pPr>
            <w:r>
              <w:rPr>
                <w:rFonts w:ascii="Consolas" w:hAnsi="Consolas"/>
                <w:b w:val="0"/>
                <w:i w:val="0"/>
                <w:color w:val="2A2A26"/>
                <w:sz w:val="18"/>
              </w:rPr>
              <w:t>Found 4 duplicate lines with fingerprint 630fbfa4... (the real duplicate only)</w:t>
            </w:r>
          </w:p>
          <w:p>
            <w:pPr>
              <w:spacing w:after="0" w:line="307" w:lineRule="auto"/>
            </w:pPr>
            <w:r>
              <w:rPr>
                <w:rFonts w:ascii="Consolas" w:hAnsi="Consolas"/>
                <w:b w:val="0"/>
                <w:i w:val="0"/>
                <w:color w:val="2A2A26"/>
                <w:sz w:val="18"/>
              </w:rPr>
              <w:t>Found 8 duplicate lines in 2 blocks in 1 files</w:t>
            </w:r>
          </w:p>
        </w:tc>
      </w:tr>
    </w:tbl>
    <w:p>
      <w:pPr>
        <w:spacing w:after="80"/>
      </w:pPr>
    </w:p>
    <w:p>
      <w:pPr>
        <w:spacing w:before="120" w:after="280"/>
        <w:pBdr>
          <w:bottom w:val="single" w:sz="4" w:space="1" w:color="DDD9D0"/>
        </w:pBdr>
      </w:pPr>
    </w:p>
    <w:p>
      <w:pPr>
        <w:keepNext/>
        <w:spacing w:before="320" w:after="120"/>
      </w:pPr>
      <w:r>
        <w:rPr>
          <w:rFonts w:ascii="Iowan Old Style" w:hAnsi="Iowan Old Style"/>
          <w:b/>
          <w:i w:val="0"/>
          <w:color w:val="1B1B19"/>
          <w:sz w:val="26"/>
        </w:rPr>
        <w:t>References: source locations</w:t>
      </w:r>
    </w:p>
    <w:tbl>
      <w:tblPr>
        <w:tblW w:type="auto" w:w="0"/>
        <w:jc w:val="center"/>
        <w:tblLayout w:type="fixed"/>
        <w:tblLook w:firstColumn="1" w:firstRow="1" w:lastColumn="0" w:lastRow="0" w:noHBand="0" w:noVBand="1" w:val="04A0"/>
        <w:tblBorders>
          <w:top w:val="single" w:sz="4" w:space="0" w:color="DDD9D0"/>
          <w:left w:val="single" w:sz="4" w:space="0" w:color="DDD9D0"/>
          <w:bottom w:val="single" w:sz="4" w:space="0" w:color="DDD9D0"/>
          <w:right w:val="single" w:sz="4" w:space="0" w:color="DDD9D0"/>
          <w:insideH w:val="single" w:sz="4" w:space="0" w:color="DDD9D0"/>
          <w:insideV w:val="single" w:sz="4" w:space="0" w:color="DDD9D0"/>
        </w:tblBorders>
      </w:tblPr>
      <w:tblGrid>
        <w:gridCol w:w="4464"/>
        <w:gridCol w:w="4464"/>
      </w:tblGrid>
      <w:tr>
        <w:trPr>
          <w:cantSplit/>
        </w:trPr>
        <w:tc>
          <w:tcPr>
            <w:tcW w:type="dxa" w:w="3456"/>
            <w:shd w:val="clear" w:color="auto" w:fill="3B4F9E"/>
            <w:tcMar>
              <w:top w:w="100" w:type="dxa"/>
              <w:bottom w:w="100" w:type="dxa"/>
              <w:left w:w="140" w:type="dxa"/>
              <w:right w:w="140" w:type="dxa"/>
            </w:tcMar>
          </w:tcPr>
          <w:p>
            <w:r>
              <w:rPr>
                <w:rFonts w:ascii="Calibri" w:hAnsi="Calibri"/>
                <w:b/>
                <w:i w:val="0"/>
                <w:color w:val="FFFFFF"/>
                <w:sz w:val="18"/>
              </w:rPr>
              <w:t>Concept</w:t>
            </w:r>
          </w:p>
        </w:tc>
        <w:tc>
          <w:tcPr>
            <w:tcW w:type="dxa" w:w="5184"/>
            <w:shd w:val="clear" w:color="auto" w:fill="3B4F9E"/>
            <w:tcMar>
              <w:top w:w="100" w:type="dxa"/>
              <w:bottom w:w="100" w:type="dxa"/>
              <w:left w:w="140" w:type="dxa"/>
              <w:right w:w="140" w:type="dxa"/>
            </w:tcMar>
          </w:tcPr>
          <w:p>
            <w:r>
              <w:rPr>
                <w:rFonts w:ascii="Calibri" w:hAnsi="Calibri"/>
                <w:b/>
                <w:i w:val="0"/>
                <w:color w:val="FFFFFF"/>
                <w:sz w:val="18"/>
              </w:rPr>
              <w:t>Location</w:t>
            </w:r>
          </w:p>
        </w:tc>
      </w:tr>
      <w:tr>
        <w:trPr>
          <w:cantSplit/>
        </w:trPr>
        <w:tc>
          <w:tcPr>
            <w:tcW w:type="dxa" w:w="345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Threshold and the sliding window</w:t>
            </w:r>
          </w:p>
        </w:tc>
        <w:tc>
          <w:tcPr>
            <w:tcW w:type="dxa" w:w="5184"/>
            <w:shd w:val="clear" w:color="auto" w:fill="FBFAF7"/>
            <w:tcMar>
              <w:top w:w="100" w:type="dxa"/>
              <w:bottom w:w="100" w:type="dxa"/>
              <w:left w:w="140" w:type="dxa"/>
              <w:right w:w="140" w:type="dxa"/>
            </w:tcMar>
          </w:tcPr>
          <w:p>
            <w:pPr>
              <w:spacing w:after="0"/>
            </w:pPr>
            <w:r>
              <w:rPr>
                <w:rFonts w:ascii="Consolas" w:hAnsi="Consolas"/>
                <w:b w:val="0"/>
                <w:i w:val="0"/>
                <w:color w:val="2A2A26"/>
                <w:sz w:val="18"/>
              </w:rPr>
              <w:t>StreamLoader.java</w:t>
            </w:r>
            <w:r>
              <w:rPr>
                <w:rFonts w:ascii="Iowan Old Style" w:hAnsi="Iowan Old Style"/>
                <w:b w:val="0"/>
                <w:i w:val="0"/>
                <w:color w:val="4A4A46"/>
                <w:sz w:val="18"/>
              </w:rPr>
              <w:t>, Options.DEFAULT_THRESHOLD</w:t>
            </w:r>
          </w:p>
        </w:tc>
      </w:tr>
      <w:tr>
        <w:trPr>
          <w:cantSplit/>
        </w:trPr>
        <w:tc>
          <w:tcPr>
            <w:tcW w:type="dxa" w:w="345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 xml:space="preserve">Why </w:t>
            </w:r>
            <w:r>
              <w:rPr>
                <w:rFonts w:ascii="Consolas" w:hAnsi="Consolas"/>
                <w:b w:val="0"/>
                <w:i w:val="0"/>
                <w:color w:val="2A2A26"/>
                <w:sz w:val="18"/>
              </w:rPr>
              <w:t>-ignoreVariableNames</w:t>
            </w:r>
            <w:r>
              <w:rPr>
                <w:rFonts w:ascii="Iowan Old Style" w:hAnsi="Iowan Old Style"/>
                <w:b w:val="0"/>
                <w:i w:val="0"/>
                <w:color w:val="4A4A46"/>
                <w:sz w:val="18"/>
              </w:rPr>
              <w:t xml:space="preserve"> spares method names</w:t>
            </w:r>
          </w:p>
        </w:tc>
        <w:tc>
          <w:tcPr>
            <w:tcW w:type="dxa" w:w="5184"/>
            <w:shd w:val="clear" w:color="auto" w:fill="F3F2EE"/>
            <w:tcMar>
              <w:top w:w="100" w:type="dxa"/>
              <w:bottom w:w="100" w:type="dxa"/>
              <w:left w:w="140" w:type="dxa"/>
              <w:right w:w="140" w:type="dxa"/>
            </w:tcMar>
          </w:tcPr>
          <w:p>
            <w:pPr>
              <w:spacing w:after="0"/>
            </w:pPr>
            <w:r>
              <w:rPr>
                <w:rFonts w:ascii="Consolas" w:hAnsi="Consolas"/>
                <w:b w:val="0"/>
                <w:i w:val="0"/>
                <w:color w:val="2A2A26"/>
                <w:sz w:val="18"/>
              </w:rPr>
              <w:t>RecogniseIdentifiersTokenVisitor.java</w:t>
            </w:r>
            <w:r>
              <w:rPr>
                <w:rFonts w:ascii="Iowan Old Style" w:hAnsi="Iowan Old Style"/>
                <w:b w:val="0"/>
                <w:i w:val="0"/>
                <w:color w:val="4A4A46"/>
                <w:sz w:val="18"/>
              </w:rPr>
              <w:t xml:space="preserve">, </w:t>
            </w:r>
            <w:r>
              <w:rPr>
                <w:rFonts w:ascii="Consolas" w:hAnsi="Consolas"/>
                <w:b w:val="0"/>
                <w:i w:val="0"/>
                <w:color w:val="2A2A26"/>
                <w:sz w:val="18"/>
              </w:rPr>
              <w:t>IgnoreVariableNamesTokenVisitor.java</w:t>
            </w:r>
          </w:p>
        </w:tc>
      </w:tr>
      <w:tr>
        <w:trPr>
          <w:cantSplit/>
        </w:trPr>
        <w:tc>
          <w:tcPr>
            <w:tcW w:type="dxa" w:w="3456"/>
            <w:shd w:val="clear" w:color="auto" w:fill="FBFAF7"/>
            <w:tcMar>
              <w:top w:w="100" w:type="dxa"/>
              <w:bottom w:w="100" w:type="dxa"/>
              <w:left w:w="140" w:type="dxa"/>
              <w:right w:w="140" w:type="dxa"/>
            </w:tcMar>
          </w:tcPr>
          <w:p>
            <w:pPr>
              <w:spacing w:after="0"/>
            </w:pPr>
            <w:r>
              <w:rPr>
                <w:rFonts w:ascii="Consolas" w:hAnsi="Consolas"/>
                <w:b w:val="0"/>
                <w:i w:val="0"/>
                <w:color w:val="2A2A26"/>
                <w:sz w:val="18"/>
              </w:rPr>
              <w:t>-ignoreIdentifiers</w:t>
            </w:r>
            <w:r>
              <w:rPr>
                <w:rFonts w:ascii="Iowan Old Style" w:hAnsi="Iowan Old Style"/>
                <w:b w:val="0"/>
                <w:i w:val="0"/>
                <w:color w:val="4A4A46"/>
                <w:sz w:val="18"/>
              </w:rPr>
              <w:t>, the broad alternative</w:t>
            </w:r>
          </w:p>
        </w:tc>
        <w:tc>
          <w:tcPr>
            <w:tcW w:type="dxa" w:w="5184"/>
            <w:shd w:val="clear" w:color="auto" w:fill="FBFAF7"/>
            <w:tcMar>
              <w:top w:w="100" w:type="dxa"/>
              <w:bottom w:w="100" w:type="dxa"/>
              <w:left w:w="140" w:type="dxa"/>
              <w:right w:w="140" w:type="dxa"/>
            </w:tcMar>
          </w:tcPr>
          <w:p>
            <w:pPr>
              <w:spacing w:after="0"/>
            </w:pPr>
            <w:r>
              <w:rPr>
                <w:rFonts w:ascii="Consolas" w:hAnsi="Consolas"/>
                <w:b w:val="0"/>
                <w:i w:val="0"/>
                <w:color w:val="2A2A26"/>
                <w:sz w:val="18"/>
              </w:rPr>
              <w:t>IgnoreIdentifiersTokenVisitor.java</w:t>
            </w:r>
          </w:p>
        </w:tc>
      </w:tr>
      <w:tr>
        <w:trPr>
          <w:cantSplit/>
        </w:trPr>
        <w:tc>
          <w:tcPr>
            <w:tcW w:type="dxa" w:w="345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File selection before tuning</w:t>
            </w:r>
          </w:p>
        </w:tc>
        <w:tc>
          <w:tcPr>
            <w:tcW w:type="dxa" w:w="5184"/>
            <w:shd w:val="clear" w:color="auto" w:fill="F3F2EE"/>
            <w:tcMar>
              <w:top w:w="100" w:type="dxa"/>
              <w:bottom w:w="100" w:type="dxa"/>
              <w:left w:w="140" w:type="dxa"/>
              <w:right w:w="140" w:type="dxa"/>
            </w:tcMar>
          </w:tcPr>
          <w:p>
            <w:pPr>
              <w:spacing w:after="0"/>
            </w:pPr>
            <w:r>
              <w:rPr>
                <w:rFonts w:ascii="Consolas" w:hAnsi="Consolas"/>
                <w:b w:val="0"/>
                <w:i w:val="0"/>
                <w:color w:val="2A2A26"/>
                <w:sz w:val="18"/>
              </w:rPr>
              <w:t>IncludesFileFilter.java</w:t>
            </w:r>
            <w:r>
              <w:rPr>
                <w:rFonts w:ascii="Iowan Old Style" w:hAnsi="Iowan Old Style"/>
                <w:b w:val="0"/>
                <w:i w:val="0"/>
                <w:color w:val="4A4A46"/>
                <w:sz w:val="18"/>
              </w:rPr>
              <w:t xml:space="preserve">, </w:t>
            </w:r>
            <w:r>
              <w:rPr>
                <w:rFonts w:ascii="Consolas" w:hAnsi="Consolas"/>
                <w:b w:val="0"/>
                <w:i w:val="0"/>
                <w:color w:val="2A2A26"/>
                <w:sz w:val="18"/>
              </w:rPr>
              <w:t>ExcludesFileFilter.java</w:t>
            </w:r>
            <w:r>
              <w:rPr>
                <w:rFonts w:ascii="Iowan Old Style" w:hAnsi="Iowan Old Style"/>
                <w:b w:val="0"/>
                <w:i w:val="0"/>
                <w:color w:val="4A4A46"/>
                <w:sz w:val="18"/>
              </w:rPr>
              <w:t>, Option.IGNORE_BLOCKS</w:t>
            </w:r>
          </w:p>
        </w:tc>
      </w:tr>
      <w:tr>
        <w:trPr>
          <w:cantSplit/>
        </w:trPr>
        <w:tc>
          <w:tcPr>
            <w:tcW w:type="dxa" w:w="345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Full option catalog</w:t>
            </w:r>
          </w:p>
        </w:tc>
        <w:tc>
          <w:tcPr>
            <w:tcW w:type="dxa" w:w="5184"/>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 xml:space="preserve">companion report Inside the </w:t>
            </w:r>
            <w:r>
              <w:rPr>
                <w:rFonts w:ascii="Consolas" w:hAnsi="Consolas"/>
                <w:b w:val="0"/>
                <w:i w:val="0"/>
                <w:color w:val="2A2A26"/>
                <w:sz w:val="18"/>
              </w:rPr>
              <w:t>TokenVisitor</w:t>
            </w:r>
            <w:r>
              <w:rPr>
                <w:rFonts w:ascii="Iowan Old Style" w:hAnsi="Iowan Old Style"/>
                <w:b w:val="0"/>
                <w:i w:val="0"/>
                <w:color w:val="4A4A46"/>
                <w:sz w:val="18"/>
              </w:rPr>
              <w:t xml:space="preserve"> Chain, section 6</w:t>
            </w:r>
          </w:p>
        </w:tc>
      </w:tr>
    </w:tbl>
    <w:p>
      <w:pPr>
        <w:spacing w:after="80"/>
      </w:pPr>
    </w:p>
    <w:p>
      <w:pPr>
        <w:spacing w:before="360"/>
      </w:pPr>
      <w:r>
        <w:rPr>
          <w:rFonts w:ascii="Calibri" w:hAnsi="Calibri"/>
          <w:b w:val="0"/>
          <w:i w:val="0"/>
          <w:color w:val="85837C"/>
          <w:sz w:val="17"/>
        </w:rPr>
        <w:t>Simian Similarity Analyzer  ·  Apache License 2.0  ·  simian@quandarypeak.com</w:t>
      </w:r>
    </w:p>
    <w:sectPr w:rsidR="00FC693F" w:rsidRPr="0006063C" w:rsidSect="00034616">
      <w:pgSz w:w="12240" w:h="15840"/>
      <w:pgMar w:top="1296" w:right="1656"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7" w:lineRule="auto"/>
    </w:pPr>
    <w:rPr>
      <w:rFonts w:ascii="Iowan Old Style" w:hAnsi="Iowan Old Style"/>
      <w:color w:val="4A4A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