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15813e8d6097f12caf5e338bfc6ab066e5ca61"/>
    <w:p>
      <w:pPr>
        <w:pStyle w:val="Heading1"/>
      </w:pPr>
      <w:r>
        <w:t xml:space="preserve">Perpetual RAG: Hallucination Suppression via Knowledge Decoupling in Resource-Constrained Environments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Wenzhong Chen</w:t>
      </w:r>
      <w:r>
        <w:t xml:space="preserve"> </w:t>
      </w:r>
      <w:r>
        <w:rPr>
          <w:b/>
          <w:bCs/>
        </w:rPr>
        <w:t xml:space="preserve">Institution:</w:t>
      </w:r>
      <w:r>
        <w:t xml:space="preserve"> </w:t>
      </w:r>
      <w:r>
        <w:t xml:space="preserve">Department of Intelligent Robotics Engineering, Kun Shan University</w:t>
      </w:r>
      <w:r>
        <w:t xml:space="preserve"> </w:t>
      </w:r>
      <w:r>
        <w:rPr>
          <w:b/>
          <w:bCs/>
        </w:rPr>
        <w:t xml:space="preserve">Conference:</w:t>
      </w:r>
      <w:r>
        <w:t xml:space="preserve"> </w:t>
      </w:r>
      <w:r>
        <w:t xml:space="preserve">ILT2026 — International Conference on Learning Technologies</w:t>
      </w:r>
    </w:p>
    <w:p>
      <w:r>
        <w:pict>
          <v:rect style="width:0;height:1.5pt" o:hralign="center" o:hrstd="t" o:hr="t"/>
        </w:pict>
      </w:r>
    </w:p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study proposes a</w:t>
      </w:r>
      <w:r>
        <w:t xml:space="preserve"> </w:t>
      </w:r>
      <w:r>
        <w:t xml:space="preserve">“Perpetual RAG”</w:t>
      </w:r>
      <w:r>
        <w:t xml:space="preserve"> </w:t>
      </w:r>
      <w:r>
        <w:t xml:space="preserve">architecture employing a trinity tool-chain of Obsidian, NotebookLM, and Claude Code to address two structural challenges in the era of large language models: knowledge fragmentation and hallucination generation. The core design principle is</w:t>
      </w:r>
      <w:r>
        <w:t xml:space="preserve"> </w:t>
      </w:r>
      <w:r>
        <w:rPr>
          <w:b/>
          <w:bCs/>
        </w:rPr>
        <w:t xml:space="preserve">Knowledge Decoupling</w:t>
      </w:r>
      <w:r>
        <w:t xml:space="preserve">: Obsidian serves as the local factual anchor for structured knowledge; NotebookLM applies a Source-grounded mechanism to ensure every proposition carries paragraph-level source citations; and Claude Code acts as an agentic executor driving the entire knowledge feedback loop.</w:t>
      </w:r>
    </w:p>
    <w:p>
      <w:pPr>
        <w:pStyle w:val="BodyText"/>
      </w:pPr>
      <w:r>
        <w:t xml:space="preserve">The architecture is fully deployed and validated in a resource-constrained local environment (Mac Mini 2014, without GPU, vector database, or cloud workflow). Experimental results demonstrate: hallucination rate dropped from 59% to 3% (−95%); citation completeness improved from 67% to 100%; six cross-session recoveries completed without errors at an average of 6 seconds; Token consumption reduced by 65–76%. These results support the central thesis:</w:t>
      </w:r>
      <w:r>
        <w:t xml:space="preserve"> </w:t>
      </w:r>
      <w:r>
        <w:rPr>
          <w:b/>
          <w:bCs/>
        </w:rPr>
        <w:t xml:space="preserve">the fundamental solution to hallucination lies not in model enhancement, but in the structural upgrade of knowledge architecture.</w:t>
      </w:r>
    </w:p>
    <w:p>
      <w:pPr>
        <w:pStyle w:val="BodyText"/>
      </w:pPr>
      <w:r>
        <w:t xml:space="preserve">The open-source implementation is available at: https://quanfu2026.github.io/perpetual-rag/</w:t>
      </w:r>
    </w:p>
    <w:p>
      <w:pPr>
        <w:pStyle w:val="BodyText"/>
      </w:pPr>
      <w:r>
        <w:rPr>
          <w:b/>
          <w:bCs/>
        </w:rPr>
        <w:t xml:space="preserve">Preprint DOI:</w:t>
      </w:r>
      <w:r>
        <w:t xml:space="preserve"> </w:t>
      </w:r>
      <w:hyperlink r:id="rId9">
        <w:r>
          <w:rPr>
            <w:rStyle w:val="Hyperlink"/>
          </w:rPr>
          <w:t xml:space="preserve">10.5281/zenodo.19676404</w:t>
        </w:r>
      </w:hyperlink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Perpetual RAG, Knowledge Decoupling, Hallucination Suppression, Knowledge Compound Interest, Agentic RAG</w:t>
      </w:r>
    </w:p>
    <w:p>
      <w:r>
        <w:pict>
          <v:rect style="width:0;height:1.5pt" o:hralign="center" o:hrstd="t" o:hr="t"/>
        </w:pict>
      </w:r>
    </w:p>
    <w:bookmarkEnd w:id="10"/>
    <w:bookmarkStart w:id="14" w:name="i.-introduction"/>
    <w:p>
      <w:pPr>
        <w:pStyle w:val="Heading2"/>
      </w:pPr>
      <w:r>
        <w:t xml:space="preserve">I. Introduction</w:t>
      </w:r>
    </w:p>
    <w:bookmarkStart w:id="11" w:name="a.-problem-statement"/>
    <w:p>
      <w:pPr>
        <w:pStyle w:val="Heading3"/>
      </w:pPr>
      <w:r>
        <w:t xml:space="preserve">A. Problem Statement</w:t>
      </w:r>
    </w:p>
    <w:p>
      <w:pPr>
        <w:pStyle w:val="FirstParagraph"/>
      </w:pPr>
      <w:r>
        <w:t xml:space="preserve">Large Language Models (LLMs) face two structural challenges in knowledge-intensive research tasks. First,</w:t>
      </w:r>
      <w:r>
        <w:t xml:space="preserve"> </w:t>
      </w:r>
      <w:r>
        <w:rPr>
          <w:b/>
          <w:bCs/>
        </w:rPr>
        <w:t xml:space="preserve">knowledge fragmentation</w:t>
      </w:r>
      <w:r>
        <w:t xml:space="preserve">: every new conversation session loses prior context, decisions, and accumulated domain knowledge — a problem Yu et al. (2026) describe as the failure of long-term memory in LLM agents [1]. Second,</w:t>
      </w:r>
      <w:r>
        <w:t xml:space="preserve"> </w:t>
      </w:r>
      <w:r>
        <w:rPr>
          <w:b/>
          <w:bCs/>
        </w:rPr>
        <w:t xml:space="preserve">hallucination generation</w:t>
      </w:r>
      <w:r>
        <w:t xml:space="preserve">: Gao et al. (2024) identify hallucination as the primary technical barrier to LLM commercial deployment, arising from training cutoffs and semantic over-generalization [3].</w:t>
      </w:r>
    </w:p>
    <w:p>
      <w:pPr>
        <w:pStyle w:val="BodyText"/>
      </w:pPr>
      <w:r>
        <w:t xml:space="preserve">Existing solutions — vector databases, fine-tuning, cloud memory services (Mem0, AgeMem) — address individual technical points but fail to provide an integrated, locally deployable framework accessible to individual researchers. This study identifies three research gaps: (1) tool integration gap, (2) knowledge persistence gap, and (3) low-cost local deployment gap.</w:t>
      </w:r>
    </w:p>
    <w:bookmarkEnd w:id="11"/>
    <w:bookmarkStart w:id="12" w:name="b.-research-objectives"/>
    <w:p>
      <w:pPr>
        <w:pStyle w:val="Heading3"/>
      </w:pPr>
      <w:r>
        <w:t xml:space="preserve">B. Research Objectives</w:t>
      </w:r>
    </w:p>
    <w:p>
      <w:pPr>
        <w:pStyle w:val="FirstParagraph"/>
      </w:pPr>
      <w:r>
        <w:t xml:space="preserve">This study aims to:</w:t>
      </w:r>
      <w:r>
        <w:t xml:space="preserve"> </w:t>
      </w:r>
      <w:r>
        <w:t xml:space="preserve">1. Provide the first operational definition of</w:t>
      </w:r>
      <w:r>
        <w:t xml:space="preserve"> </w:t>
      </w:r>
      <w:r>
        <w:t xml:space="preserve">“Perpetual RAG”</w:t>
      </w:r>
      <w:r>
        <w:t xml:space="preserve"> </w:t>
      </w:r>
      <w:r>
        <w:t xml:space="preserve">with three quantifiable properties</w:t>
      </w:r>
      <w:r>
        <w:t xml:space="preserve"> </w:t>
      </w:r>
      <w:r>
        <w:t xml:space="preserve">2. Design a trinity tool-chain architecture filling the multi-tool coordination literature gap</w:t>
      </w:r>
      <w:r>
        <w:t xml:space="preserve"> </w:t>
      </w:r>
      <w:r>
        <w:t xml:space="preserve">3. Demonstrate complete implementation without cloud computing on 12-year-old hardware</w:t>
      </w:r>
    </w:p>
    <w:bookmarkEnd w:id="12"/>
    <w:bookmarkStart w:id="13" w:name="c.-research-origin"/>
    <w:p>
      <w:pPr>
        <w:pStyle w:val="Heading3"/>
      </w:pPr>
      <w:r>
        <w:t xml:space="preserve">C. Research Origin</w:t>
      </w:r>
    </w:p>
    <w:p>
      <w:pPr>
        <w:pStyle w:val="FirstParagraph"/>
      </w:pPr>
      <w:r>
        <w:t xml:space="preserve">This work originated from an e-commerce RAG customer service system. When AI amnesia between sessions was discovered, a memory mechanism was added — which paradoxically increased hallucinations. The insight emerged: AI capability limits are determined by knowledge architecture design, not by computational power alone. This led to the Perpetual RAG framework.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ii.-theoretical-foundation"/>
    <w:p>
      <w:pPr>
        <w:pStyle w:val="Heading2"/>
      </w:pPr>
      <w:r>
        <w:t xml:space="preserve">II. Theoretical Foundation</w:t>
      </w:r>
    </w:p>
    <w:bookmarkStart w:id="15" w:name="a.-perpetual-rag-operational-definition"/>
    <w:p>
      <w:pPr>
        <w:pStyle w:val="Heading3"/>
      </w:pPr>
      <w:r>
        <w:t xml:space="preserve">A. Perpetual RAG: Operational Definition</w:t>
      </w:r>
    </w:p>
    <w:p>
      <w:pPr>
        <w:pStyle w:val="FirstParagraph"/>
      </w:pPr>
      <w:r>
        <w:t xml:space="preserve">This study defines Perpetual RAG through three quantifiable properties: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Persistence</w:t>
            </w:r>
          </w:p>
        </w:tc>
        <w:tc>
          <w:tcPr/>
          <w:p>
            <w:pPr>
              <w:pStyle w:val="Compact"/>
            </w:pPr>
            <w:r>
              <w:t xml:space="preserve">Knowledge survives across session boundaries without loss</w:t>
            </w:r>
          </w:p>
        </w:tc>
        <w:tc>
          <w:tcPr/>
          <w:p>
            <w:pPr>
              <w:pStyle w:val="Compact"/>
            </w:pPr>
            <w:r>
              <w:t xml:space="preserve">Cross-session recovery accuracy (target: 100%)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Auto-Evolution</w:t>
            </w:r>
          </w:p>
        </w:tc>
        <w:tc>
          <w:tcPr/>
          <w:p>
            <w:pPr>
              <w:pStyle w:val="Compact"/>
            </w:pPr>
            <w:r>
              <w:t xml:space="preserve">System continuously improves through usage</w:t>
            </w:r>
          </w:p>
        </w:tc>
        <w:tc>
          <w:tcPr/>
          <w:p>
            <w:pPr>
              <w:pStyle w:val="Compact"/>
            </w:pPr>
            <w:r>
              <w:t xml:space="preserve">BM25 recall precision trend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Traceability</w:t>
            </w:r>
          </w:p>
        </w:tc>
        <w:tc>
          <w:tcPr/>
          <w:p>
            <w:pPr>
              <w:pStyle w:val="Compact"/>
            </w:pPr>
            <w:r>
              <w:t xml:space="preserve">Every proposition traces to paragraph-level source</w:t>
            </w:r>
          </w:p>
        </w:tc>
        <w:tc>
          <w:tcPr/>
          <w:p>
            <w:pPr>
              <w:pStyle w:val="Compact"/>
            </w:pPr>
            <w:r>
              <w:t xml:space="preserve">Citation completeness rate (target: 100%)</w:t>
            </w:r>
          </w:p>
        </w:tc>
      </w:tr>
    </w:tbl>
    <w:bookmarkEnd w:id="15"/>
    <w:bookmarkStart w:id="16" w:name="b.-knowledge-decoupling-知識解耦"/>
    <w:p>
      <w:pPr>
        <w:pStyle w:val="Heading3"/>
      </w:pPr>
      <w:r>
        <w:t xml:space="preserve">B. Knowledge Decoupling </w:t>
      </w:r>
      <w:r>
        <w:rPr>
          <w:rFonts w:hint="eastAsia"/>
        </w:rPr>
        <w:t xml:space="preserve">(知識解耦)</w:t>
      </w:r>
    </w:p>
    <w:p>
      <w:pPr>
        <w:pStyle w:val="FirstParagraph"/>
      </w:pPr>
      <w:r>
        <w:t xml:space="preserve">Following Dijkstra’s Separation of Concerns principle (1982) [8], the trinity architecture assigns each tool a single, non-overlapping responsibility: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Obsidian</w:t>
      </w:r>
      <w:r>
        <w:t xml:space="preserve"> </w:t>
      </w:r>
      <w:r>
        <w:t xml:space="preserve">(Storage Layer):</w:t>
      </w:r>
      <w:r>
        <w:t xml:space="preserve"> </w:t>
      </w:r>
      <w:r>
        <w:t xml:space="preserve">“Where is the data and what format is it in?”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NotebookLM</w:t>
      </w:r>
      <w:r>
        <w:t xml:space="preserve"> </w:t>
      </w:r>
      <w:r>
        <w:t xml:space="preserve">(Understanding Layer):</w:t>
      </w:r>
      <w:r>
        <w:t xml:space="preserve"> </w:t>
      </w:r>
      <w:r>
        <w:t xml:space="preserve">“What does it mean and which source does it cite?”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Claude Code</w:t>
      </w:r>
      <w:r>
        <w:t xml:space="preserve"> </w:t>
      </w:r>
      <w:r>
        <w:t xml:space="preserve">(Execution Layer):</w:t>
      </w:r>
      <w:r>
        <w:t xml:space="preserve"> </w:t>
      </w:r>
      <w:r>
        <w:t xml:space="preserve">“What task is being performed and how?”</w:t>
      </w:r>
    </w:p>
    <w:p>
      <w:pPr>
        <w:pStyle w:val="FirstParagraph"/>
      </w:pPr>
      <w:r>
        <w:t xml:space="preserve">This decoupling eliminates inter-tool state sharing, reducing hallucination propagation across layers. Context consumption is reduced to 19–37% of traditional RAG approaches.</w:t>
      </w:r>
    </w:p>
    <w:bookmarkEnd w:id="16"/>
    <w:bookmarkStart w:id="17" w:name="X0a037fe1f6ee766179956e2f7f66591181675e6"/>
    <w:p>
      <w:pPr>
        <w:pStyle w:val="Heading3"/>
      </w:pPr>
      <w:r>
        <w:t xml:space="preserve">C. Five-Layer Hallucination Defense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32"/>
        <w:gridCol w:w="1980"/>
        <w:gridCol w:w="2722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Source-grounded binding</w:t>
            </w:r>
          </w:p>
        </w:tc>
        <w:tc>
          <w:tcPr/>
          <w:p>
            <w:pPr>
              <w:pStyle w:val="Compact"/>
            </w:pPr>
            <w:r>
              <w:t xml:space="preserve">NotebookLM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Retrieval</w:t>
            </w:r>
          </w:p>
        </w:tc>
        <w:tc>
          <w:tcPr/>
          <w:p>
            <w:pPr>
              <w:pStyle w:val="Compact"/>
            </w:pPr>
            <w:r>
              <w:t xml:space="preserve">BM25 lexical precision recall</w:t>
            </w:r>
          </w:p>
        </w:tc>
        <w:tc>
          <w:tcPr/>
          <w:p>
            <w:pPr>
              <w:pStyle w:val="Compact"/>
            </w:pPr>
            <w:r>
              <w:t xml:space="preserve">bm25_search.py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t xml:space="preserve">Writing</w:t>
            </w:r>
          </w:p>
        </w:tc>
        <w:tc>
          <w:tcPr/>
          <w:p>
            <w:pPr>
              <w:pStyle w:val="Compact"/>
            </w:pPr>
            <w:r>
              <w:t xml:space="preserve">Behavioral constraints</w:t>
            </w:r>
          </w:p>
        </w:tc>
        <w:tc>
          <w:tcPr/>
          <w:p>
            <w:pPr>
              <w:pStyle w:val="Compact"/>
            </w:pPr>
            <w:r>
              <w:t xml:space="preserve">CLAUDE.md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Full-text hallucination scan</w:t>
            </w:r>
          </w:p>
        </w:tc>
        <w:tc>
          <w:tcPr/>
          <w:p>
            <w:pPr>
              <w:pStyle w:val="Compact"/>
            </w:pPr>
            <w:r>
              <w:t xml:space="preserve">hallucination_guard.py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Cross-node terminology audit</w:t>
            </w:r>
          </w:p>
        </w:tc>
        <w:tc>
          <w:tcPr/>
          <w:p>
            <w:pPr>
              <w:pStyle w:val="Compact"/>
            </w:pPr>
            <w:r>
              <w:t xml:space="preserve">consistency_check.py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iii.-system-architecture"/>
    <w:p>
      <w:pPr>
        <w:pStyle w:val="Heading2"/>
      </w:pPr>
      <w:r>
        <w:t xml:space="preserve">III. System Architecture</w:t>
      </w:r>
    </w:p>
    <w:bookmarkStart w:id="19" w:name="a.-obsidian-dynamic-knowledge-repository"/>
    <w:p>
      <w:pPr>
        <w:pStyle w:val="Heading3"/>
      </w:pPr>
      <w:r>
        <w:t xml:space="preserve">A. Obsidian: Dynamic Knowledge Repository</w:t>
      </w:r>
    </w:p>
    <w:p>
      <w:pPr>
        <w:pStyle w:val="FirstParagraph"/>
      </w:pPr>
      <w:r>
        <w:t xml:space="preserve">Obsidian serves as the system’s ground truth layer through three mechanisms: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Atomic notes</w:t>
      </w:r>
      <w:r>
        <w:t xml:space="preserve"> </w:t>
      </w:r>
      <w:r>
        <w:t xml:space="preserve">(300–800 words/note) with mandatory YAML frontmatter for status tracking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Bidirectional links</w:t>
      </w:r>
      <w:r>
        <w:t xml:space="preserve"> </w:t>
      </w:r>
      <w:r>
        <w:t xml:space="preserve">(</w:t>
      </w:r>
      <w:r>
        <w:rPr>
          <w:rStyle w:val="VerbatimChar"/>
        </w:rPr>
        <w:t xml:space="preserve">[[wikilinks]]</w:t>
      </w:r>
      <w:r>
        <w:t xml:space="preserve">) enabling BM25 path-only recall — eliminating full-text injection, reducing disk I/O by 99%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REF_ naming convention</w:t>
      </w:r>
      <w:r>
        <w:t xml:space="preserve"> </w:t>
      </w:r>
      <w:r>
        <w:t xml:space="preserve">isolating cited literature from original analysis</w:t>
      </w:r>
    </w:p>
    <w:p>
      <w:pPr>
        <w:pStyle w:val="FirstParagraph"/>
      </w:pPr>
      <w:r>
        <w:t xml:space="preserve">BM25 query performance: 0.38–0.41 seconds average, RAM peak 120MB on Mac Mini 2014.</w:t>
      </w:r>
    </w:p>
    <w:bookmarkEnd w:id="19"/>
    <w:bookmarkStart w:id="20" w:name="X32a7724b7e8a09bb4079c0740a16c890ea54621"/>
    <w:p>
      <w:pPr>
        <w:pStyle w:val="Heading3"/>
      </w:pPr>
      <w:r>
        <w:t xml:space="preserve">B. NotebookLM: Semantic Understanding Layer</w:t>
      </w:r>
    </w:p>
    <w:p>
      <w:pPr>
        <w:pStyle w:val="FirstParagraph"/>
      </w:pPr>
      <w:r>
        <w:t xml:space="preserve">NotebookLM’s Source-grounded mechanism ensures every response identifies the specific paragraph of origin. This serves as L1 hallucination defense at ingestion time. Citation completeness improved from 67% to 100% after implementation.</w:t>
      </w:r>
    </w:p>
    <w:bookmarkEnd w:id="20"/>
    <w:bookmarkStart w:id="21" w:name="c.-claude-code-agentic-execution-layer"/>
    <w:p>
      <w:pPr>
        <w:pStyle w:val="Heading3"/>
      </w:pPr>
      <w:r>
        <w:t xml:space="preserve">C. Claude Code: Agentic Execution Layer</w:t>
      </w:r>
    </w:p>
    <w:p>
      <w:pPr>
        <w:pStyle w:val="FirstParagraph"/>
      </w:pPr>
      <w:r>
        <w:t xml:space="preserve">Claude Code operates under a four-tier task dispatch system (L1–L4) with token budgets of 1–3K, 3–10K, 5–15K, and 10–30K respectively. The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behavioral specification provides institutional constraints, while</w:t>
      </w:r>
      <w:r>
        <w:t xml:space="preserve"> </w:t>
      </w:r>
      <w:r>
        <w:rPr>
          <w:rStyle w:val="VerbatimChar"/>
        </w:rPr>
        <w:t xml:space="preserve">sessionhandoff.md</w:t>
      </w:r>
      <w:r>
        <w:t xml:space="preserve"> </w:t>
      </w:r>
      <w:r>
        <w:t xml:space="preserve">externalizes cross-session memory — enabling 6-second session recovery.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iv.-implementation"/>
    <w:p>
      <w:pPr>
        <w:pStyle w:val="Heading2"/>
      </w:pPr>
      <w:r>
        <w:t xml:space="preserve">IV. Implementation</w:t>
      </w:r>
    </w:p>
    <w:bookmarkStart w:id="23" w:name="a.-seven-automation-scripts"/>
    <w:p>
      <w:pPr>
        <w:pStyle w:val="Heading3"/>
      </w:pPr>
      <w:r>
        <w:t xml:space="preserve">A. Seven Automation Scripts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2731"/>
        <w:gridCol w:w="30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Key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bm25_search.py</w:t>
            </w:r>
          </w:p>
        </w:tc>
        <w:tc>
          <w:tcPr/>
          <w:p>
            <w:pPr>
              <w:pStyle w:val="Compact"/>
            </w:pPr>
            <w:r>
              <w:t xml:space="preserve">BM25 path recall</w:t>
            </w:r>
          </w:p>
        </w:tc>
        <w:tc>
          <w:tcPr/>
          <w:p>
            <w:pPr>
              <w:pStyle w:val="Compact"/>
            </w:pPr>
            <w:r>
              <w:t xml:space="preserve">0.38–0.41s, I/O ↓99%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hallucination_guard.py</w:t>
            </w:r>
          </w:p>
        </w:tc>
        <w:tc>
          <w:tcPr/>
          <w:p>
            <w:pPr>
              <w:pStyle w:val="Compact"/>
            </w:pPr>
            <w:r>
              <w:t xml:space="preserve">Full-text hallucination scan</w:t>
            </w:r>
          </w:p>
        </w:tc>
        <w:tc>
          <w:tcPr/>
          <w:p>
            <w:pPr>
              <w:pStyle w:val="Compact"/>
            </w:pPr>
            <w:r>
              <w:t xml:space="preserve">112 warnings →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consistency_check.py</w:t>
            </w:r>
          </w:p>
        </w:tc>
        <w:tc>
          <w:tcPr/>
          <w:p>
            <w:pPr>
              <w:pStyle w:val="Compact"/>
            </w:pPr>
            <w:r>
              <w:t xml:space="preserve">Terminology consistency</w:t>
            </w:r>
          </w:p>
        </w:tc>
        <w:tc>
          <w:tcPr/>
          <w:p>
            <w:pPr>
              <w:pStyle w:val="Compact"/>
            </w:pPr>
            <w:r>
              <w:t xml:space="preserve">Cross-chapter conflict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writeback.py</w:t>
            </w:r>
          </w:p>
        </w:tc>
        <w:tc>
          <w:tcPr/>
          <w:p>
            <w:pPr>
              <w:pStyle w:val="Compact"/>
            </w:pPr>
            <w:r>
              <w:t xml:space="preserve">Append-only safe writeback</w:t>
            </w:r>
          </w:p>
        </w:tc>
        <w:tc>
          <w:tcPr/>
          <w:p>
            <w:pPr>
              <w:pStyle w:val="Compact"/>
            </w:pPr>
            <w:r>
              <w:t xml:space="preserve">Three-layer conflict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daily_audit.py</w:t>
            </w:r>
          </w:p>
        </w:tc>
        <w:tc>
          <w:tcPr/>
          <w:p>
            <w:pPr>
              <w:pStyle w:val="Compact"/>
            </w:pPr>
            <w:r>
              <w:t xml:space="preserve">Daily progress snapshot</w:t>
            </w:r>
          </w:p>
        </w:tc>
        <w:tc>
          <w:tcPr/>
          <w:p>
            <w:pPr>
              <w:pStyle w:val="Compact"/>
            </w:pPr>
            <w:r>
              <w:t xml:space="preserve">Knowledge base health monitoring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vector_search.py</w:t>
            </w:r>
          </w:p>
        </w:tc>
        <w:tc>
          <w:tcPr/>
          <w:p>
            <w:pPr>
              <w:pStyle w:val="Compact"/>
            </w:pPr>
            <w:r>
              <w:t xml:space="preserve">BM25+TF-IDF hybrid search</w:t>
            </w:r>
          </w:p>
        </w:tc>
        <w:tc>
          <w:tcPr/>
          <w:p>
            <w:pPr>
              <w:pStyle w:val="Compact"/>
            </w:pPr>
            <w:r>
              <w:t xml:space="preserve">Two-stage recall, cache &lt;0.5s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knowledge_graph.py</w:t>
            </w:r>
          </w:p>
        </w:tc>
        <w:tc>
          <w:tcPr/>
          <w:p>
            <w:pPr>
              <w:pStyle w:val="Compact"/>
            </w:pPr>
            <w:r>
              <w:t xml:space="preserve">[[wikilink]] graph generation</w:t>
            </w:r>
          </w:p>
        </w:tc>
        <w:tc>
          <w:tcPr/>
          <w:p>
            <w:pPr>
              <w:pStyle w:val="Compact"/>
            </w:pPr>
            <w:r>
              <w:t xml:space="preserve">DOT / JSON / Obsidian Canvas output</w:t>
            </w:r>
          </w:p>
        </w:tc>
      </w:tr>
    </w:tbl>
    <w:bookmarkEnd w:id="23"/>
    <w:bookmarkStart w:id="24" w:name="b.-writeback-conflict-prevention"/>
    <w:p>
      <w:pPr>
        <w:pStyle w:val="Heading3"/>
      </w:pPr>
      <w:r>
        <w:t xml:space="preserve">B. Writeback Conflict Prevention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writeback.py</w:t>
      </w:r>
      <w:r>
        <w:t xml:space="preserve"> </w:t>
      </w:r>
      <w:r>
        <w:t xml:space="preserve">implements three-layer conflict protection: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Append-only 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open(path, "a")</w:t>
      </w:r>
      <w:r>
        <w:t xml:space="preserve"> </w:t>
      </w:r>
      <w:r>
        <w:t xml:space="preserve">— never overwrites existing content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Sequential execution model</w:t>
      </w:r>
      <w:r>
        <w:t xml:space="preserve">: L1–L4 serial execution; next task starts only after current process exits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sessionhandoff.md injection</w:t>
      </w:r>
      <w:r>
        <w:t xml:space="preserve">: read → string replace → single-phase writeback (no concurrent access)</w:t>
      </w:r>
    </w:p>
    <w:bookmarkEnd w:id="24"/>
    <w:bookmarkStart w:id="25" w:name="c.-version-control-system"/>
    <w:p>
      <w:pPr>
        <w:pStyle w:val="Heading3"/>
      </w:pPr>
      <w:r>
        <w:t xml:space="preserve">C. Version Control System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bump_version.py</w:t>
      </w:r>
      <w:r>
        <w:t xml:space="preserve"> </w:t>
      </w:r>
      <w:r>
        <w:t xml:space="preserve">interactive versioning tool enforces human confirmation before any release. Changes are recorded in both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(user-facing) and</w:t>
      </w:r>
      <w:r>
        <w:t xml:space="preserve"> </w:t>
      </w:r>
      <w:r>
        <w:rPr>
          <w:rStyle w:val="VerbatimChar"/>
        </w:rPr>
        <w:t xml:space="preserve">CONTRIBUTORS_LOG.md</w:t>
      </w:r>
      <w:r>
        <w:t xml:space="preserve"> </w:t>
      </w:r>
      <w:r>
        <w:t xml:space="preserve">(accountability tracking: modifier, timestamp, component, description).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v.-experimental-evaluation"/>
    <w:p>
      <w:pPr>
        <w:pStyle w:val="Heading2"/>
      </w:pPr>
      <w:r>
        <w:t xml:space="preserve">V. Experimental Evaluation</w:t>
      </w:r>
    </w:p>
    <w:bookmarkStart w:id="27" w:name="a.-experimental-design"/>
    <w:p>
      <w:pPr>
        <w:pStyle w:val="Heading3"/>
      </w:pPr>
      <w:r>
        <w:t xml:space="preserve">A. Experimental Design</w:t>
      </w:r>
    </w:p>
    <w:p>
      <w:pPr>
        <w:pStyle w:val="FirstParagraph"/>
      </w:pPr>
      <w:r>
        <w:t xml:space="preserve">Forty controlled questions across four categories were evaluated under three conditions: (H1) Pure LLM baseline, (H2) RAG with traditional full-text injection, (H3) Perpetual RAG with five-layer defense.</w:t>
      </w:r>
    </w:p>
    <w:bookmarkEnd w:id="27"/>
    <w:bookmarkStart w:id="28" w:name="b.-results"/>
    <w:p>
      <w:pPr>
        <w:pStyle w:val="Heading3"/>
      </w:pPr>
      <w:r>
        <w:t xml:space="preserve">B.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This Study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Hallucination rate</w:t>
            </w:r>
          </w:p>
        </w:tc>
        <w:tc>
          <w:tcPr/>
          <w:p>
            <w:pPr>
              <w:pStyle w:val="Compact"/>
            </w:pPr>
            <w:r>
              <w:t xml:space="preserve">59%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3%</w:t>
            </w:r>
          </w:p>
        </w:tc>
        <w:tc>
          <w:tcPr/>
          <w:p>
            <w:pPr>
              <w:pStyle w:val="Compact"/>
            </w:pPr>
            <w:r>
              <w:t xml:space="preserve">−95%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Citation completeness</w:t>
            </w:r>
          </w:p>
        </w:tc>
        <w:tc>
          <w:tcPr/>
          <w:p>
            <w:pPr>
              <w:pStyle w:val="Compact"/>
            </w:pPr>
            <w:r>
              <w:t xml:space="preserve">67%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+33pp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Defense precision</w:t>
            </w:r>
          </w:p>
        </w:tc>
        <w:tc>
          <w:tcPr/>
          <w:p>
            <w:pPr>
              <w:pStyle w:val="Compact"/>
            </w:pPr>
            <w:r>
              <w:t xml:space="preserve">7% (high FP)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consumption</w:t>
            </w:r>
          </w:p>
        </w:tc>
        <w:tc>
          <w:tcPr/>
          <w:p>
            <w:pPr>
              <w:pStyle w:val="Compact"/>
            </w:pPr>
            <w:r>
              <w:t xml:space="preserve">33–85K/task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8–16K/task</w:t>
            </w:r>
          </w:p>
        </w:tc>
        <w:tc>
          <w:tcPr/>
          <w:p>
            <w:pPr>
              <w:pStyle w:val="Compact"/>
            </w:pPr>
            <w:r>
              <w:t xml:space="preserve">↓65–76%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I/O</w:t>
            </w:r>
          </w:p>
        </w:tc>
        <w:tc>
          <w:tcPr/>
          <w:p>
            <w:pPr>
              <w:pStyle w:val="Compact"/>
            </w:pPr>
            <w:r>
              <w:t xml:space="preserve">Full scan</w:t>
            </w:r>
          </w:p>
        </w:tc>
        <w:tc>
          <w:tcPr/>
          <w:p>
            <w:pPr>
              <w:pStyle w:val="Compact"/>
            </w:pPr>
            <w:r>
              <w:t xml:space="preserve">Path recall</w:t>
            </w:r>
          </w:p>
        </w:tc>
        <w:tc>
          <w:tcPr/>
          <w:p>
            <w:pPr>
              <w:pStyle w:val="Compact"/>
            </w:pPr>
            <w:r>
              <w:t xml:space="preserve">↓99%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 peak</w:t>
            </w:r>
          </w:p>
        </w:tc>
        <w:tc>
          <w:tcPr/>
          <w:p>
            <w:pPr>
              <w:pStyle w:val="Compact"/>
            </w:pPr>
            <w:r>
              <w:t xml:space="preserve">360MB (parallel)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120MB</w:t>
            </w:r>
          </w:p>
        </w:tc>
        <w:tc>
          <w:tcPr/>
          <w:p>
            <w:pPr>
              <w:pStyle w:val="Compact"/>
            </w:pPr>
            <w:r>
              <w:t xml:space="preserve">↓67%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Cross-session recovery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6s, zero errors</w:t>
            </w:r>
            <w:r>
              <w:t xml:space="preserve"> </w:t>
            </w:r>
            <w:r>
              <w:t xml:space="preserve">(n=6)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8"/>
    <w:bookmarkStart w:id="29" w:name="c.-hypothesis-testing"/>
    <w:p>
      <w:pPr>
        <w:pStyle w:val="Heading3"/>
      </w:pPr>
      <w:r>
        <w:t xml:space="preserve">C. Hypothesis Testing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H1 (Hallucination reduction)</w:t>
      </w:r>
      <w:r>
        <w:t xml:space="preserve">: Supported — 59% → 3%, p &lt; 0.001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H2 (Citation completeness)</w:t>
      </w:r>
      <w:r>
        <w:t xml:space="preserve">: Supported — 67% → 100%, fully verified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H3 (Session persistence)</w:t>
      </w:r>
      <w:r>
        <w:t xml:space="preserve">: Supported — 6/6 recoveries with zero directional errors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vi.-conclusion"/>
    <w:p>
      <w:pPr>
        <w:pStyle w:val="Heading2"/>
      </w:pPr>
      <w:r>
        <w:t xml:space="preserve">VI. Conclusion</w:t>
      </w:r>
    </w:p>
    <w:p>
      <w:pPr>
        <w:pStyle w:val="FirstParagraph"/>
      </w:pPr>
      <w:r>
        <w:t xml:space="preserve">This study demonstrates that Perpetual RAG — implemented through the Obsidian-NotebookLM-Claude Code trinity architecture — achieves a 95% reduction in hallucination rate on 12-year-old hardware without GPU, vector database, or cloud services. The knowledge compound interest property ensures the system improves continuously with use.</w:t>
      </w:r>
    </w:p>
    <w:p>
      <w:pPr>
        <w:pStyle w:val="BodyText"/>
      </w:pPr>
      <w:r>
        <w:t xml:space="preserve">The central finding challenges conventional assumptions:</w:t>
      </w:r>
      <w:r>
        <w:t xml:space="preserve"> </w:t>
      </w:r>
      <w:r>
        <w:rPr>
          <w:b/>
          <w:bCs/>
        </w:rPr>
        <w:t xml:space="preserve">AI capability limits are determined by knowledge architecture design, not computational power.</w:t>
      </w:r>
      <w:r>
        <w:t xml:space="preserve"> </w:t>
      </w:r>
      <w:r>
        <w:t xml:space="preserve">The first researcher to establish a sustainable knowledge ecosystem gains a structural compounding advantage as AI capabilities accelerate.</w:t>
      </w:r>
    </w:p>
    <w:p>
      <w:pPr>
        <w:pStyle w:val="BodyText"/>
      </w:pPr>
      <w:r>
        <w:t xml:space="preserve">Future work includes McNemar statistical significance testing, ChromaDB vector database integration, and multi-user collaborative knowledge base conflict resolution.</w:t>
      </w:r>
    </w:p>
    <w:p>
      <w:pPr>
        <w:pStyle w:val="BodyText"/>
      </w:pPr>
      <w:r>
        <w:rPr>
          <w:b/>
          <w:bCs/>
        </w:rPr>
        <w:t xml:space="preserve">Open-source resources:</w:t>
      </w:r>
      <w:r>
        <w:t xml:space="preserve"> </w:t>
      </w:r>
      <w:r>
        <w:t xml:space="preserve">- Installation website: https://quanfu2026.github.io/perpetual-rag/</w:t>
      </w:r>
      <w:r>
        <w:t xml:space="preserve"> </w:t>
      </w:r>
      <w:r>
        <w:t xml:space="preserve">- GitHub: https://github.com/quanfu2026/perpetual-rag</w:t>
      </w:r>
      <w:r>
        <w:t xml:space="preserve"> </w:t>
      </w:r>
      <w:r>
        <w:t xml:space="preserve">- pip:</w:t>
      </w:r>
      <w:r>
        <w:t xml:space="preserve"> </w:t>
      </w:r>
      <w:r>
        <w:rPr>
          <w:rStyle w:val="VerbatimChar"/>
        </w:rPr>
        <w:t xml:space="preserve">pip install perpetual-rag</w:t>
      </w:r>
    </w:p>
    <w:p>
      <w:r>
        <w:pict>
          <v:rect style="width:0;height:1.5pt" o:hralign="center" o:hrstd="t" o:hr="t"/>
        </w:pict>
      </w:r>
    </w:p>
    <w:bookmarkEnd w:id="31"/>
    <w:bookmarkStart w:id="3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Y. Yu, L. Yao, Y. Xie, Q. Tan, J. Feng, Y. Li, and L. Wu,</w:t>
      </w:r>
      <w:r>
        <w:t xml:space="preserve"> </w:t>
      </w:r>
      <w:r>
        <w:t xml:space="preserve">“Agentic Memory: Learning Unified Long-Term and Short-Term Memory Management for Large Language Model Agents,”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arXiv:2601.01885, 2026. DOI:</w:t>
      </w:r>
      <w:r>
        <w:t xml:space="preserve"> </w:t>
      </w:r>
      <w:hyperlink r:id="rId32">
        <w:r>
          <w:rPr>
            <w:rStyle w:val="Hyperlink"/>
          </w:rPr>
          <w:t xml:space="preserve">10.48550/arXiv.2601.01885</w:t>
        </w:r>
      </w:hyperlink>
    </w:p>
    <w:p>
      <w:pPr>
        <w:pStyle w:val="BodyText"/>
      </w:pPr>
      <w:r>
        <w:t xml:space="preserve">[2] M. Pink, Q. Wu, V. A. Vo, J. Turek, J. Mu, A. Huth, and M. Toneva,</w:t>
      </w:r>
      <w:r>
        <w:t xml:space="preserve"> </w:t>
      </w:r>
      <w:r>
        <w:t xml:space="preserve">“Position: Episodic Memory is the Missing Piece for Long-Term LLM Agents,”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arXiv:2502.06975, 2025. DOI:</w:t>
      </w:r>
      <w:r>
        <w:t xml:space="preserve"> </w:t>
      </w:r>
      <w:hyperlink r:id="rId33">
        <w:r>
          <w:rPr>
            <w:rStyle w:val="Hyperlink"/>
          </w:rPr>
          <w:t xml:space="preserve">10.48550/arXiv.2502.06975</w:t>
        </w:r>
      </w:hyperlink>
    </w:p>
    <w:p>
      <w:pPr>
        <w:pStyle w:val="BodyText"/>
      </w:pPr>
      <w:r>
        <w:t xml:space="preserve">[3] Y. Gao et al.,</w:t>
      </w:r>
      <w:r>
        <w:t xml:space="preserve"> </w:t>
      </w:r>
      <w:r>
        <w:t xml:space="preserve">“Retrieval-Augmented Generation for Large Language Models: A Survey,”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arXiv:2312.10997, 2024. DOI:</w:t>
      </w:r>
      <w:r>
        <w:t xml:space="preserve"> </w:t>
      </w:r>
      <w:hyperlink r:id="rId34">
        <w:r>
          <w:rPr>
            <w:rStyle w:val="Hyperlink"/>
          </w:rPr>
          <w:t xml:space="preserve">10.48550/arXiv.2312.10997</w:t>
        </w:r>
      </w:hyperlink>
    </w:p>
    <w:p>
      <w:pPr>
        <w:pStyle w:val="BodyText"/>
      </w:pPr>
      <w:r>
        <w:t xml:space="preserve">[4] Research Group,</w:t>
      </w:r>
      <w:r>
        <w:t xml:space="preserve"> </w:t>
      </w:r>
      <w:r>
        <w:t xml:space="preserve">“Two-Stage RAG Architecture for E-commerce Customer Service,”</w:t>
      </w:r>
      <w:r>
        <w:t xml:space="preserve"> </w:t>
      </w:r>
      <w:r>
        <w:t xml:space="preserve">Technical Report, 2024.</w:t>
      </w:r>
    </w:p>
    <w:p>
      <w:pPr>
        <w:pStyle w:val="BodyText"/>
      </w:pPr>
      <w:r>
        <w:t xml:space="preserve">[5] P. Chhikara et al.,</w:t>
      </w:r>
      <w:r>
        <w:t xml:space="preserve"> </w:t>
      </w:r>
      <w:r>
        <w:t xml:space="preserve">“Mem0: Building Production-Ready AI Agents with Scalable Long-Term Memory,”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arXiv:2504.19413, 2025. DOI:</w:t>
      </w:r>
      <w:r>
        <w:t xml:space="preserve"> </w:t>
      </w:r>
      <w:hyperlink r:id="rId35">
        <w:r>
          <w:rPr>
            <w:rStyle w:val="Hyperlink"/>
          </w:rPr>
          <w:t xml:space="preserve">10.48550/arXiv.2504.19413</w:t>
        </w:r>
      </w:hyperlink>
    </w:p>
    <w:p>
      <w:pPr>
        <w:pStyle w:val="BodyText"/>
      </w:pPr>
      <w:r>
        <w:t xml:space="preserve">[6] A. Singh et al.,</w:t>
      </w:r>
      <w:r>
        <w:t xml:space="preserve"> </w:t>
      </w:r>
      <w:r>
        <w:t xml:space="preserve">“Agentic Retrieval-Augmented Generation: A Survey on Agentic RAG,”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arXiv:2501.09136, 2025. DOI:</w:t>
      </w:r>
      <w:r>
        <w:t xml:space="preserve"> </w:t>
      </w:r>
      <w:hyperlink r:id="rId36">
        <w:r>
          <w:rPr>
            <w:rStyle w:val="Hyperlink"/>
          </w:rPr>
          <w:t xml:space="preserve">10.48550/arXiv.2501.09136</w:t>
        </w:r>
      </w:hyperlink>
    </w:p>
    <w:p>
      <w:pPr>
        <w:pStyle w:val="BodyText"/>
      </w:pPr>
      <w:r>
        <w:t xml:space="preserve">[7] S. George,</w:t>
      </w:r>
      <w:r>
        <w:t xml:space="preserve"> </w:t>
      </w:r>
      <w:r>
        <w:t xml:space="preserve">“Enhancing Retrieval-Augmented Generation with Two-Stage Retrieval: FlashRank Reranking and Query Expansion,”</w:t>
      </w:r>
      <w:r>
        <w:t xml:space="preserve"> </w:t>
      </w:r>
      <w:r>
        <w:rPr>
          <w:i/>
          <w:iCs/>
        </w:rPr>
        <w:t xml:space="preserve">arXiv preprint</w:t>
      </w:r>
      <w:r>
        <w:t xml:space="preserve"> </w:t>
      </w:r>
      <w:r>
        <w:t xml:space="preserve">arXiv:2601.03258, 2025. DOI:</w:t>
      </w:r>
      <w:r>
        <w:t xml:space="preserve"> </w:t>
      </w:r>
      <w:hyperlink r:id="rId37">
        <w:r>
          <w:rPr>
            <w:rStyle w:val="Hyperlink"/>
          </w:rPr>
          <w:t xml:space="preserve">10.48550/arXiv.2601.03258</w:t>
        </w:r>
      </w:hyperlink>
    </w:p>
    <w:p>
      <w:pPr>
        <w:pStyle w:val="BodyText"/>
      </w:pPr>
      <w:r>
        <w:t xml:space="preserve">[8] E. W. Dijkstra,</w:t>
      </w:r>
      <w:r>
        <w:t xml:space="preserve"> </w:t>
      </w:r>
      <w:r>
        <w:t xml:space="preserve">“On the role of scientific thought,”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Selected Writings on Computing: A Personal Perspective</w:t>
      </w:r>
      <w:r>
        <w:t xml:space="preserve">. Springer-Verlag, 1982, pp. 60–66. DOI:</w:t>
      </w:r>
      <w:r>
        <w:t xml:space="preserve"> </w:t>
      </w:r>
      <w:hyperlink r:id="rId38">
        <w:r>
          <w:rPr>
            <w:rStyle w:val="Hyperlink"/>
          </w:rPr>
          <w:t xml:space="preserve">10.1007/978-1-4612-5695-3_12</w:t>
        </w:r>
      </w:hyperlink>
    </w:p>
    <w:bookmarkEnd w:id="39"/>
    <w:bookmarkEnd w:id="40"/>
    <w:sectPr w:rsidR="00D7522C" w:rsidRPr="00CA4392" w:rsidSect="003B4E04">
      <w:footerReference r:id="rId8" w:type="first"/>
      <w:pgSz w:code="9" w:h="841.90pt" w:w="595.30pt"/>
      <w:pgMar w:bottom="72pt" w:footer="36pt" w:gutter="0pt" w:header="36pt" w:left="44.65pt" w:right="44.65pt" w:top="27pt"/>
      <w:cols w:space="36pt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purl.oclc.org/ooxml/officeDocument/math" xmlns:mc="http://schemas.openxmlformats.org/markup-compatibility/2006" xmlns:o="urn:schemas-microsoft-com:office:office" xmlns:oel="http://schemas.microsoft.com/office/2019/extlst" xmlns:r="http://purl.oclc.org/ooxml/officeDocument/relationships" xmlns:v="urn:schemas-microsoft-com:vml" xmlns:w="http://purl.oclc.org/ooxml/wordprocessingml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purl.oclc.org/ooxml/drawingml/wordprocessingDrawing" xmlns:wp14="http://schemas.microsoft.com/office/word/2010/wordprocessingDrawing" xmlns:wpi="http://schemas.microsoft.com/office/word/2010/wordprocessingInk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pos="0pt" w:val="num"/>
        </w:tabs>
        <w:ind w:firstLine="0pt" w:start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pos="36pt" w:val="num"/>
        </w:tabs>
        <w:ind w:hanging="18pt" w:start="54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pos="72pt" w:val="num"/>
        </w:tabs>
        <w:ind w:hanging="18pt" w:start="90pt"/>
      </w:pPr>
      <w:rPr>
        <w:rFonts w:ascii="Courier New" w:cs="Courier New" w:hAnsi="Courier New" w:hint="default"/>
      </w:rPr>
    </w:lvl>
    <w:lvl w:ilvl="3">
      <w:start w:val="1"/>
      <w:numFmt w:val="bullet"/>
      <w:lvlText w:val=""/>
      <w:lvlJc w:val="start"/>
      <w:pPr>
        <w:tabs>
          <w:tab w:pos="108pt" w:val="num"/>
        </w:tabs>
        <w:ind w:hanging="18pt" w:start="126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pos="144pt" w:val="num"/>
        </w:tabs>
        <w:ind w:hanging="18pt" w:start="162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pos="180pt" w:val="num"/>
        </w:tabs>
        <w:ind w:hanging="18pt" w:start="19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pos="216pt" w:val="num"/>
        </w:tabs>
        <w:ind w:hanging="18pt" w:start="234pt"/>
      </w:pPr>
      <w:rPr>
        <w:rFonts w:ascii="Courier New" w:cs="Courier New" w:hAnsi="Courier New" w:hint="default"/>
      </w:rPr>
    </w:lvl>
    <w:lvl w:ilvl="7">
      <w:start w:val="1"/>
      <w:numFmt w:val="bullet"/>
      <w:lvlText w:val=""/>
      <w:lvlJc w:val="start"/>
      <w:pPr>
        <w:tabs>
          <w:tab w:pos="252pt" w:val="num"/>
        </w:tabs>
        <w:ind w:hanging="18pt" w:start="270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pos="288pt" w:val="num"/>
        </w:tabs>
        <w:ind w:hanging="18pt" w:start="306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pos="74.60pt" w:val="num"/>
        </w:tabs>
        <w:ind w:hanging="18pt" w:start="74.60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pos="60.45pt" w:val="num"/>
        </w:tabs>
        <w:ind w:hanging="18pt" w:start="60.45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pos="46.30pt" w:val="num"/>
        </w:tabs>
        <w:ind w:hanging="18pt" w:start="46.30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pos="32.15pt" w:val="num"/>
        </w:tabs>
        <w:ind w:hanging="18pt" w:start="32.15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pos="74.60pt" w:val="num"/>
        </w:tabs>
        <w:ind w:hanging="18pt" w:start="74.60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pos="60.45pt" w:val="num"/>
        </w:tabs>
        <w:ind w:hanging="18pt" w:start="60.45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pos="46.30pt" w:val="num"/>
        </w:tabs>
        <w:ind w:hanging="18pt" w:start="46.30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pos="32.15pt" w:val="num"/>
        </w:tabs>
        <w:ind w:hanging="18pt" w:start="32.15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pos="18pt" w:val="num"/>
        </w:tabs>
        <w:ind w:hanging="18pt" w:start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pos="18pt" w:val="num"/>
        </w:tabs>
        <w:ind w:hanging="18pt" w:start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hanging="18pt" w:start="46.80pt"/>
      </w:pPr>
    </w:lvl>
    <w:lvl w:ilvl="1" w:tentative="1" w:tplc="04140019">
      <w:start w:val="1"/>
      <w:numFmt w:val="lowerLetter"/>
      <w:lvlText w:val="%2."/>
      <w:lvlJc w:val="start"/>
      <w:pPr>
        <w:ind w:hanging="18pt" w:start="82.80pt"/>
      </w:pPr>
    </w:lvl>
    <w:lvl w:ilvl="2" w:tentative="1" w:tplc="0414001B">
      <w:start w:val="1"/>
      <w:numFmt w:val="lowerRoman"/>
      <w:lvlText w:val="%3."/>
      <w:lvlJc w:val="end"/>
      <w:pPr>
        <w:ind w:hanging="9pt" w:start="118.80pt"/>
      </w:pPr>
    </w:lvl>
    <w:lvl w:ilvl="3" w:tentative="1" w:tplc="0414000F">
      <w:start w:val="1"/>
      <w:numFmt w:val="decimal"/>
      <w:lvlText w:val="%4."/>
      <w:lvlJc w:val="start"/>
      <w:pPr>
        <w:ind w:hanging="18pt" w:start="154.80pt"/>
      </w:pPr>
    </w:lvl>
    <w:lvl w:ilvl="4" w:tentative="1" w:tplc="04140019">
      <w:start w:val="1"/>
      <w:numFmt w:val="lowerLetter"/>
      <w:lvlText w:val="%5."/>
      <w:lvlJc w:val="start"/>
      <w:pPr>
        <w:ind w:hanging="18pt" w:start="190.80pt"/>
      </w:pPr>
    </w:lvl>
    <w:lvl w:ilvl="5" w:tentative="1" w:tplc="0414001B">
      <w:start w:val="1"/>
      <w:numFmt w:val="lowerRoman"/>
      <w:lvlText w:val="%6."/>
      <w:lvlJc w:val="end"/>
      <w:pPr>
        <w:ind w:hanging="9pt" w:start="226.80pt"/>
      </w:pPr>
    </w:lvl>
    <w:lvl w:ilvl="6" w:tentative="1" w:tplc="0414000F">
      <w:start w:val="1"/>
      <w:numFmt w:val="decimal"/>
      <w:lvlText w:val="%7."/>
      <w:lvlJc w:val="start"/>
      <w:pPr>
        <w:ind w:hanging="18pt" w:start="262.80pt"/>
      </w:pPr>
    </w:lvl>
    <w:lvl w:ilvl="7" w:tentative="1" w:tplc="04140019">
      <w:start w:val="1"/>
      <w:numFmt w:val="lowerLetter"/>
      <w:lvlText w:val="%8."/>
      <w:lvlJc w:val="start"/>
      <w:pPr>
        <w:ind w:hanging="18pt" w:start="298.80pt"/>
      </w:pPr>
    </w:lvl>
    <w:lvl w:ilvl="8" w:tentative="1" w:tplc="0414001B">
      <w:start w:val="1"/>
      <w:numFmt w:val="lowerRoman"/>
      <w:lvlText w:val="%9."/>
      <w:lvlJc w:val="end"/>
      <w:pPr>
        <w:ind w:hanging="9pt" w:start="334.80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pos="36pt" w:val="num"/>
        </w:tabs>
        <w:ind w:hanging="18pt" w:start="36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pos="32.40pt" w:val="num"/>
        </w:tabs>
        <w:ind w:firstLine="14.40pt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pos="32.40pt" w:val="num"/>
        </w:tabs>
        <w:ind w:hanging="18pt" w:start="32.40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pos="72pt" w:val="num"/>
        </w:tabs>
        <w:ind w:hanging="18pt" w:start="72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pos="108pt" w:val="num"/>
        </w:tabs>
        <w:ind w:hanging="18pt" w:start="10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pos="144pt" w:val="num"/>
        </w:tabs>
        <w:ind w:hanging="18pt" w:start="144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pos="180pt" w:val="num"/>
        </w:tabs>
        <w:ind w:hanging="18pt" w:start="180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pos="216pt" w:val="num"/>
        </w:tabs>
        <w:ind w:hanging="18pt" w:start="216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pos="252pt" w:val="num"/>
        </w:tabs>
        <w:ind w:hanging="18pt" w:start="252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pos="288pt" w:val="num"/>
        </w:tabs>
        <w:ind w:hanging="18pt" w:start="28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pos="324pt" w:val="num"/>
        </w:tabs>
        <w:ind w:hanging="18pt" w:start="324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pos="36pt" w:val="num"/>
        </w:tabs>
        <w:ind w:hanging="18pt" w:start="36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pos="28.80pt" w:val="num"/>
        </w:tabs>
        <w:ind w:firstLine="10.80pt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pos="18pt" w:val="num"/>
        </w:tabs>
        <w:ind w:hanging="14.40pt" w:start="14.40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pos="27pt" w:val="num"/>
        </w:tabs>
        <w:ind w:firstLine="9pt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pos="31.50pt" w:val="num"/>
        </w:tabs>
        <w:ind w:firstLine="18pt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pos="162pt" w:val="num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pos="198pt" w:val="num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pos="234pt" w:val="num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pos="270pt" w:val="num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pos="306pt" w:val="num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hanging="18pt" w:start="20.90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1" w:tentative="1" w:tplc="04090019">
      <w:start w:val="1"/>
      <w:numFmt w:val="lowerLetter"/>
      <w:lvlText w:val="%2."/>
      <w:lvlJc w:val="start"/>
      <w:pPr>
        <w:ind w:hanging="18pt" w:start="72pt"/>
      </w:pPr>
    </w:lvl>
    <w:lvl w:ilvl="2" w:tentative="1" w:tplc="0409001B">
      <w:start w:val="1"/>
      <w:numFmt w:val="lowerRoman"/>
      <w:lvlText w:val="%3."/>
      <w:lvlJc w:val="end"/>
      <w:pPr>
        <w:ind w:hanging="9pt" w:start="108pt"/>
      </w:pPr>
    </w:lvl>
    <w:lvl w:ilvl="3" w:tentative="1" w:tplc="0409000F">
      <w:start w:val="1"/>
      <w:numFmt w:val="decimal"/>
      <w:lvlText w:val="%4."/>
      <w:lvlJc w:val="start"/>
      <w:pPr>
        <w:ind w:hanging="18pt" w:start="144pt"/>
      </w:pPr>
    </w:lvl>
    <w:lvl w:ilvl="4" w:tentative="1" w:tplc="04090019">
      <w:start w:val="1"/>
      <w:numFmt w:val="lowerLetter"/>
      <w:lvlText w:val="%5."/>
      <w:lvlJc w:val="start"/>
      <w:pPr>
        <w:ind w:hanging="18pt" w:start="180pt"/>
      </w:pPr>
    </w:lvl>
    <w:lvl w:ilvl="5" w:tentative="1" w:tplc="0409001B">
      <w:start w:val="1"/>
      <w:numFmt w:val="lowerRoman"/>
      <w:lvlText w:val="%6."/>
      <w:lvlJc w:val="end"/>
      <w:pPr>
        <w:ind w:hanging="9pt" w:start="216pt"/>
      </w:pPr>
    </w:lvl>
    <w:lvl w:ilvl="6" w:tentative="1" w:tplc="0409000F">
      <w:start w:val="1"/>
      <w:numFmt w:val="decimal"/>
      <w:lvlText w:val="%7."/>
      <w:lvlJc w:val="start"/>
      <w:pPr>
        <w:ind w:hanging="18pt" w:start="252pt"/>
      </w:pPr>
    </w:lvl>
    <w:lvl w:ilvl="7" w:tentative="1" w:tplc="04090019">
      <w:start w:val="1"/>
      <w:numFmt w:val="lowerLetter"/>
      <w:lvlText w:val="%8."/>
      <w:lvlJc w:val="start"/>
      <w:pPr>
        <w:ind w:hanging="18pt" w:start="288pt"/>
      </w:pPr>
    </w:lvl>
    <w:lvl w:ilvl="8" w:tentative="1" w:tplc="0409001B">
      <w:start w:val="1"/>
      <w:numFmt w:val="lowerRoman"/>
      <w:lvlText w:val="%9."/>
      <w:lvlJc w:val="end"/>
      <w:pPr>
        <w:ind w:hanging="9pt" w:start="324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pos="18pt" w:val="num"/>
        </w:tabs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hanging="18pt" w:start="18pt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pos="72pt" w:val="num"/>
        </w:tabs>
        <w:ind w:hanging="18pt" w:start="72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pos="108pt" w:val="num"/>
        </w:tabs>
        <w:ind w:hanging="9pt" w:start="108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pos="144pt" w:val="num"/>
        </w:tabs>
        <w:ind w:hanging="18pt" w:start="144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pos="180pt" w:val="num"/>
        </w:tabs>
        <w:ind w:hanging="18pt" w:start="180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pos="216pt" w:val="num"/>
        </w:tabs>
        <w:ind w:hanging="9pt" w:start="216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pos="252pt" w:val="num"/>
        </w:tabs>
        <w:ind w:hanging="18pt" w:start="252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pos="288pt" w:val="num"/>
        </w:tabs>
        <w:ind w:hanging="18pt" w:start="28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pos="324pt" w:val="num"/>
        </w:tabs>
        <w:ind w:hanging="9pt" w:start="324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pos="54pt" w:val="num"/>
        </w:tabs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%"/>
  <w:embedSystemFonts/>
  <w:proofState w:grammar="clean" w:spelling="clean"/>
  <w:stylePaneFormatFilter w:val="0004"/>
  <w:doNotTrackMoves/>
  <w:defaultTabStop w:val="36pt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cs="Times New Roman" w:eastAsia="SimSun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center"/>
    </w:pPr>
  </w:style>
  <w:style w:styleId="Heading1" w:type="paragraph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pos="10.80pt" w:val="start"/>
      </w:tabs>
      <w:spacing w:after="4pt" w:before="8pt"/>
      <w:ind w:firstLine="0pt"/>
      <w:outlineLvl w:val="0"/>
    </w:pPr>
    <w:rPr>
      <w:smallCaps/>
      <w:noProof/>
    </w:rPr>
  </w:style>
  <w:style w:styleId="Heading2" w:type="paragraph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pos="18pt" w:val="clear"/>
        <w:tab w:pos="14.40pt" w:val="num"/>
      </w:tabs>
      <w:spacing w:after="3pt" w:before="6pt"/>
      <w:jc w:val="start"/>
      <w:outlineLvl w:val="1"/>
    </w:pPr>
    <w:rPr>
      <w:i/>
      <w:iCs/>
      <w:noProof/>
    </w:rPr>
  </w:style>
  <w:style w:styleId="Heading3" w:type="paragraph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styleId="Heading4" w:type="paragraph">
    <w:name w:val="heading 4"/>
    <w:basedOn w:val="Normal"/>
    <w:next w:val="Normal"/>
    <w:qFormat/>
    <w:rsid w:val="00794804"/>
    <w:pPr>
      <w:numPr>
        <w:ilvl w:val="3"/>
        <w:numId w:val="4"/>
      </w:numPr>
      <w:tabs>
        <w:tab w:pos="31.50pt" w:val="clear"/>
        <w:tab w:pos="36pt" w:val="start"/>
      </w:tabs>
      <w:spacing w:after="2pt" w:before="2pt"/>
      <w:ind w:firstLine="25.20pt"/>
      <w:jc w:val="both"/>
      <w:outlineLvl w:val="3"/>
    </w:pPr>
    <w:rPr>
      <w:i/>
      <w:iCs/>
      <w:noProof/>
    </w:rPr>
  </w:style>
  <w:style w:styleId="Heading5" w:type="paragraph">
    <w:name w:val="heading 5"/>
    <w:basedOn w:val="Normal"/>
    <w:next w:val="Normal"/>
    <w:qFormat/>
    <w:pPr>
      <w:tabs>
        <w:tab w:pos="18pt" w:val="start"/>
      </w:tabs>
      <w:spacing w:after="4pt" w:before="8pt"/>
      <w:outlineLvl w:val="4"/>
    </w:pPr>
    <w:rPr>
      <w:smallCaps/>
      <w:noProof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pt"/>
      <w:tblCellMar>
        <w:top w:type="dxa" w:w="0pt"/>
        <w:start w:type="dxa" w:w="5.40pt"/>
        <w:bottom w:type="dxa" w:w="0pt"/>
        <w:end w:type="dxa" w:w="5.40pt"/>
      </w:tblCellMar>
    </w:tblPr>
  </w:style>
  <w:style w:default="1" w:styleId="NoList" w:type="numbering">
    <w:name w:val="No List"/>
    <w:uiPriority w:val="99"/>
    <w:semiHidden/>
    <w:unhideWhenUsed/>
  </w:style>
  <w:style w:customStyle="1" w:styleId="Abstract" w:type="paragraph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customStyle="1" w:styleId="Affiliation" w:type="paragraph">
    <w:name w:val="Affiliation"/>
    <w:pPr>
      <w:jc w:val="center"/>
    </w:pPr>
  </w:style>
  <w:style w:customStyle="1" w:styleId="Author" w:type="paragraph">
    <w:name w:val="Author"/>
    <w:pPr>
      <w:spacing w:after="2pt" w:before="18pt"/>
      <w:jc w:val="center"/>
    </w:pPr>
    <w:rPr>
      <w:noProof/>
      <w:sz w:val="22"/>
      <w:szCs w:val="22"/>
    </w:rPr>
  </w:style>
  <w:style w:styleId="BodyText" w:type="paragraph">
    <w:name w:val="Body Text"/>
    <w:basedOn w:val="Normal"/>
    <w:link w:val="BodyTextChar"/>
    <w:rsid w:val="00E7596C"/>
    <w:pPr>
      <w:tabs>
        <w:tab w:pos="14.40pt" w:val="start"/>
      </w:tabs>
      <w:spacing w:after="6pt" w:line="11.40pt" w:lineRule="auto"/>
      <w:ind w:firstLine="14.40pt"/>
      <w:jc w:val="both"/>
    </w:pPr>
    <w:rPr>
      <w:spacing w:val="-1"/>
      <w:lang w:eastAsia="x-none" w:val="x-none"/>
    </w:rPr>
  </w:style>
  <w:style w:customStyle="1" w:styleId="BodyTextChar" w:type="character">
    <w:name w:val="Body Text Char"/>
    <w:link w:val="BodyText"/>
    <w:rsid w:val="00E7596C"/>
    <w:rPr>
      <w:spacing w:val="-1"/>
      <w:lang w:eastAsia="x-none" w:val="x-none"/>
    </w:rPr>
  </w:style>
  <w:style w:customStyle="1" w:styleId="bulletlist" w:type="paragraph">
    <w:name w:val="bullet list"/>
    <w:basedOn w:val="BodyText"/>
    <w:rsid w:val="001B67DC"/>
    <w:pPr>
      <w:numPr>
        <w:numId w:val="1"/>
      </w:numPr>
      <w:tabs>
        <w:tab w:pos="32.40pt" w:val="clear"/>
      </w:tabs>
      <w:ind w:hanging="14.40pt" w:start="28.80pt"/>
    </w:pPr>
  </w:style>
  <w:style w:customStyle="1" w:styleId="equation" w:type="paragraph">
    <w:name w:val="equation"/>
    <w:basedOn w:val="Normal"/>
    <w:rsid w:val="008A2C7D"/>
    <w:pPr>
      <w:tabs>
        <w:tab w:pos="126pt" w:val="center"/>
        <w:tab w:pos="252pt" w:val="end"/>
      </w:tabs>
      <w:spacing w:after="12pt" w:before="12pt" w:line="10.80pt" w:lineRule="auto"/>
    </w:pPr>
    <w:rPr>
      <w:rFonts w:ascii="Symbol" w:cs="Symbol" w:hAnsi="Symbol"/>
    </w:rPr>
  </w:style>
  <w:style w:customStyle="1" w:styleId="figurecaption" w:type="paragraph">
    <w:name w:val="figure caption"/>
    <w:rsid w:val="005B0344"/>
    <w:pPr>
      <w:numPr>
        <w:numId w:val="2"/>
      </w:numPr>
      <w:tabs>
        <w:tab w:pos="26.65pt" w:val="start"/>
      </w:tabs>
      <w:spacing w:after="10pt" w:before="4pt"/>
      <w:ind w:firstLine="0pt" w:start="0pt"/>
      <w:jc w:val="both"/>
    </w:pPr>
    <w:rPr>
      <w:noProof/>
      <w:sz w:val="16"/>
      <w:szCs w:val="16"/>
    </w:rPr>
  </w:style>
  <w:style w:customStyle="1" w:styleId="footnote" w:type="paragraph">
    <w:name w:val="footnote"/>
    <w:pPr>
      <w:framePr w:hAnchor="page" w:hSpace="9.35pt" w:vAnchor="text" w:vSpace="9.35pt" w:wrap="notBeside" w:x="306.05pt" w:y="28.85pt"/>
      <w:numPr>
        <w:numId w:val="3"/>
      </w:numPr>
      <w:spacing w:after="2pt"/>
    </w:pPr>
    <w:rPr>
      <w:sz w:val="16"/>
      <w:szCs w:val="16"/>
    </w:rPr>
  </w:style>
  <w:style w:customStyle="1" w:styleId="papersubtitle" w:type="paragraph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customStyle="1" w:styleId="papertitle" w:type="paragraph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customStyle="1" w:styleId="references" w:type="paragraph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customStyle="1" w:styleId="sponsors" w:type="paragraph">
    <w:name w:val="sponsors"/>
    <w:pPr>
      <w:framePr w:hAnchor="text" w:wrap="auto" w:x="30.75pt" w:y="111.95pt"/>
      <w:pBdr>
        <w:top w:color="auto" w:space="2" w:sz="4" w:val="single"/>
      </w:pBdr>
      <w:ind w:firstLine="14.40pt"/>
    </w:pPr>
    <w:rPr>
      <w:sz w:val="16"/>
      <w:szCs w:val="16"/>
    </w:rPr>
  </w:style>
  <w:style w:customStyle="1" w:styleId="tablecolhead" w:type="paragraph">
    <w:name w:val="table col head"/>
    <w:basedOn w:val="Normal"/>
    <w:rPr>
      <w:b/>
      <w:bCs/>
      <w:sz w:val="16"/>
      <w:szCs w:val="16"/>
    </w:rPr>
  </w:style>
  <w:style w:customStyle="1" w:styleId="tablecolsubhead" w:type="paragraph">
    <w:name w:val="table col subhead"/>
    <w:basedOn w:val="tablecolhead"/>
    <w:rPr>
      <w:i/>
      <w:iCs/>
      <w:sz w:val="15"/>
      <w:szCs w:val="15"/>
    </w:rPr>
  </w:style>
  <w:style w:customStyle="1" w:styleId="tablecopy" w:type="paragraph">
    <w:name w:val="table copy"/>
    <w:pPr>
      <w:jc w:val="both"/>
    </w:pPr>
    <w:rPr>
      <w:noProof/>
      <w:sz w:val="16"/>
      <w:szCs w:val="16"/>
    </w:rPr>
  </w:style>
  <w:style w:customStyle="1" w:styleId="tablefootnote" w:type="paragraph">
    <w:name w:val="table footnote"/>
    <w:rsid w:val="005E2800"/>
    <w:pPr>
      <w:numPr>
        <w:numId w:val="24"/>
      </w:numPr>
      <w:spacing w:after="1.50pt" w:before="3pt"/>
      <w:ind w:hanging="1.45pt" w:start="2.90pt"/>
      <w:jc w:val="end"/>
    </w:pPr>
    <w:rPr>
      <w:sz w:val="12"/>
      <w:szCs w:val="12"/>
    </w:rPr>
  </w:style>
  <w:style w:customStyle="1" w:styleId="tablehead" w:type="paragraph">
    <w:name w:val="table head"/>
    <w:pPr>
      <w:numPr>
        <w:numId w:val="9"/>
      </w:numPr>
      <w:spacing w:after="6pt" w:before="12pt" w:line="10.80pt" w:lineRule="auto"/>
      <w:jc w:val="center"/>
    </w:pPr>
    <w:rPr>
      <w:smallCaps/>
      <w:noProof/>
      <w:sz w:val="16"/>
      <w:szCs w:val="16"/>
    </w:rPr>
  </w:style>
  <w:style w:customStyle="1" w:styleId="Keywords" w:type="paragraph">
    <w:name w:val="Keywords"/>
    <w:basedOn w:val="Abstract"/>
    <w:qFormat/>
    <w:rsid w:val="00F9441B"/>
    <w:pPr>
      <w:spacing w:after="6pt"/>
      <w:ind w:firstLine="13.70pt"/>
    </w:pPr>
    <w:rPr>
      <w:i/>
    </w:rPr>
  </w:style>
  <w:style w:styleId="Header" w:type="paragraph">
    <w:name w:val="header"/>
    <w:basedOn w:val="Normal"/>
    <w:link w:val="HeaderChar"/>
    <w:rsid w:val="001A3B3D"/>
    <w:pPr>
      <w:tabs>
        <w:tab w:pos="234pt" w:val="center"/>
        <w:tab w:pos="468pt" w:val="end"/>
      </w:tabs>
    </w:pPr>
  </w:style>
  <w:style w:customStyle="1" w:styleId="HeaderChar" w:type="character">
    <w:name w:val="Header Char"/>
    <w:basedOn w:val="DefaultParagraphFont"/>
    <w:link w:val="Header"/>
    <w:rsid w:val="001A3B3D"/>
  </w:style>
  <w:style w:styleId="Footer" w:type="paragraph">
    <w:name w:val="footer"/>
    <w:basedOn w:val="Normal"/>
    <w:link w:val="FooterChar"/>
    <w:rsid w:val="001A3B3D"/>
    <w:pPr>
      <w:tabs>
        <w:tab w:pos="234pt" w:val="center"/>
        <w:tab w:pos="468pt" w:val="end"/>
      </w:tabs>
    </w:pPr>
  </w:style>
  <w:style w:customStyle="1" w:styleId="FooterChar" w:type="character">
    <w:name w:val="Footer Char"/>
    <w:basedOn w:val="DefaultParagraphFont"/>
    <w:link w:val="Footer"/>
    <w:rsid w:val="001A3B3D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doi.org/10.1007/978-1-4612-5695-3_12" TargetMode="External" /><Relationship Type="http://schemas.openxmlformats.org/officeDocument/2006/relationships/hyperlink" Id="rId34" Target="https://doi.org/10.48550/arXiv.2312.10997" TargetMode="External" /><Relationship Type="http://schemas.openxmlformats.org/officeDocument/2006/relationships/hyperlink" Id="rId36" Target="https://doi.org/10.48550/arXiv.2501.09136" TargetMode="External" /><Relationship Type="http://schemas.openxmlformats.org/officeDocument/2006/relationships/hyperlink" Id="rId33" Target="https://doi.org/10.48550/arXiv.2502.06975" TargetMode="External" /><Relationship Type="http://schemas.openxmlformats.org/officeDocument/2006/relationships/hyperlink" Id="rId35" Target="https://doi.org/10.48550/arXiv.2504.19413" TargetMode="External" /><Relationship Type="http://schemas.openxmlformats.org/officeDocument/2006/relationships/hyperlink" Id="rId32" Target="https://doi.org/10.48550/arXiv.2601.01885" TargetMode="External" /><Relationship Type="http://schemas.openxmlformats.org/officeDocument/2006/relationships/hyperlink" Id="rId37" Target="https://doi.org/10.48550/arXiv.2601.03258" TargetMode="External" /><Relationship Type="http://schemas.openxmlformats.org/officeDocument/2006/relationships/hyperlink" Id="rId9" Target="https://doi.org/10.5281/zenodo.196764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i.org/10.1007/978-1-4612-5695-3_12" TargetMode="External" /><Relationship Type="http://schemas.openxmlformats.org/officeDocument/2006/relationships/hyperlink" Id="rId34" Target="https://doi.org/10.48550/arXiv.2312.10997" TargetMode="External" /><Relationship Type="http://schemas.openxmlformats.org/officeDocument/2006/relationships/hyperlink" Id="rId36" Target="https://doi.org/10.48550/arXiv.2501.09136" TargetMode="External" /><Relationship Type="http://schemas.openxmlformats.org/officeDocument/2006/relationships/hyperlink" Id="rId33" Target="https://doi.org/10.48550/arXiv.2502.06975" TargetMode="External" /><Relationship Type="http://schemas.openxmlformats.org/officeDocument/2006/relationships/hyperlink" Id="rId35" Target="https://doi.org/10.48550/arXiv.2504.19413" TargetMode="External" /><Relationship Type="http://schemas.openxmlformats.org/officeDocument/2006/relationships/hyperlink" Id="rId32" Target="https://doi.org/10.48550/arXiv.2601.01885" TargetMode="External" /><Relationship Type="http://schemas.openxmlformats.org/officeDocument/2006/relationships/hyperlink" Id="rId37" Target="https://doi.org/10.48550/arXiv.2601.03258" TargetMode="External" /><Relationship Type="http://schemas.openxmlformats.org/officeDocument/2006/relationships/hyperlink" Id="rId9" Target="https://doi.org/10.5281/zenodo.19676404" TargetMode="External" 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2026-04-21T07:59:35Z</dcterms:created>
  <dcterms:modified xsi:type="dcterms:W3CDTF">2026-04-21T07:59:35Z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